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55236"/>
        <w15:color w:val="DBDBDB"/>
        <w:docPartObj>
          <w:docPartGallery w:val="Table of Contents"/>
          <w:docPartUnique/>
        </w:docPartObj>
      </w:sdt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62"/>
            <w:tabs>
              <w:tab w:val="right" w:leader="dot" w:pos="8306"/>
            </w:tabs>
          </w:pPr>
          <w:r>
            <w:fldChar w:fldCharType="begin"/>
          </w:r>
          <w:r>
            <w:instrText xml:space="preserve">TOC \o "1-3" \h \u </w:instrText>
          </w:r>
          <w:r>
            <w:fldChar w:fldCharType="separate"/>
          </w:r>
          <w:r>
            <w:rPr>
              <w:rFonts w:hint="eastAsia"/>
              <w:lang w:val="en-US" w:eastAsia="zh-CN"/>
            </w:rPr>
            <w:t xml:space="preserve">    </w:t>
          </w:r>
          <w:r>
            <w:fldChar w:fldCharType="begin"/>
          </w:r>
          <w:r>
            <w:instrText xml:space="preserve"> HYPERLINK \l _Toc19221 </w:instrText>
          </w:r>
          <w:r>
            <w:fldChar w:fldCharType="separate"/>
          </w:r>
          <w:r>
            <w:rPr>
              <w:rFonts w:hint="default" w:ascii="Times New Roman" w:hAnsi="Times New Roman" w:eastAsia="宋体" w:cs="Times New Roman"/>
              <w:bCs/>
              <w:szCs w:val="24"/>
              <w:lang w:val="en-US" w:eastAsia="zh-CN"/>
            </w:rPr>
            <w:t>1. 项目由来及特点</w:t>
          </w:r>
          <w:r>
            <w:tab/>
          </w:r>
          <w:r>
            <w:fldChar w:fldCharType="begin"/>
          </w:r>
          <w:r>
            <w:instrText xml:space="preserve"> PAGEREF _Toc19221 \h </w:instrText>
          </w:r>
          <w:r>
            <w:fldChar w:fldCharType="separate"/>
          </w:r>
          <w:r>
            <w:t>6</w:t>
          </w:r>
          <w:r>
            <w:fldChar w:fldCharType="end"/>
          </w:r>
          <w:r>
            <w:fldChar w:fldCharType="end"/>
          </w:r>
        </w:p>
        <w:p>
          <w:pPr>
            <w:pStyle w:val="63"/>
            <w:tabs>
              <w:tab w:val="right" w:leader="dot" w:pos="8306"/>
            </w:tabs>
          </w:pPr>
          <w:r>
            <w:fldChar w:fldCharType="begin"/>
          </w:r>
          <w:r>
            <w:instrText xml:space="preserve"> HYPERLINK \l _Toc25118 </w:instrText>
          </w:r>
          <w:r>
            <w:fldChar w:fldCharType="separate"/>
          </w:r>
          <w:r>
            <w:rPr>
              <w:rFonts w:hint="default" w:ascii="Times New Roman" w:hAnsi="Times New Roman" w:eastAsia="宋体" w:cs="Times New Roman"/>
              <w:bCs/>
              <w:szCs w:val="24"/>
              <w:lang w:val="en-US" w:eastAsia="zh-CN"/>
            </w:rPr>
            <w:t>2. 环境影响评价的工作程序</w:t>
          </w:r>
          <w:r>
            <w:tab/>
          </w:r>
          <w:r>
            <w:fldChar w:fldCharType="begin"/>
          </w:r>
          <w:r>
            <w:instrText xml:space="preserve"> PAGEREF _Toc25118 \h </w:instrText>
          </w:r>
          <w:r>
            <w:fldChar w:fldCharType="separate"/>
          </w:r>
          <w:r>
            <w:t>6</w:t>
          </w:r>
          <w:r>
            <w:fldChar w:fldCharType="end"/>
          </w:r>
          <w:r>
            <w:fldChar w:fldCharType="end"/>
          </w:r>
        </w:p>
        <w:p>
          <w:pPr>
            <w:pStyle w:val="63"/>
            <w:tabs>
              <w:tab w:val="right" w:leader="dot" w:pos="8306"/>
            </w:tabs>
          </w:pPr>
          <w:r>
            <w:fldChar w:fldCharType="begin"/>
          </w:r>
          <w:r>
            <w:instrText xml:space="preserve"> HYPERLINK \l _Toc16440 </w:instrText>
          </w:r>
          <w:r>
            <w:fldChar w:fldCharType="separate"/>
          </w:r>
          <w:r>
            <w:rPr>
              <w:rFonts w:hint="default" w:ascii="Times New Roman" w:hAnsi="Times New Roman" w:eastAsia="宋体" w:cs="Times New Roman"/>
              <w:bCs/>
              <w:szCs w:val="24"/>
              <w:lang w:val="en-US" w:eastAsia="zh-CN"/>
            </w:rPr>
            <w:t>3. 分析判定相关情况</w:t>
          </w:r>
          <w:r>
            <w:tab/>
          </w:r>
          <w:r>
            <w:fldChar w:fldCharType="begin"/>
          </w:r>
          <w:r>
            <w:instrText xml:space="preserve"> PAGEREF _Toc16440 \h </w:instrText>
          </w:r>
          <w:r>
            <w:fldChar w:fldCharType="separate"/>
          </w:r>
          <w:r>
            <w:t>7</w:t>
          </w:r>
          <w:r>
            <w:fldChar w:fldCharType="end"/>
          </w:r>
          <w:r>
            <w:fldChar w:fldCharType="end"/>
          </w:r>
        </w:p>
        <w:p>
          <w:pPr>
            <w:pStyle w:val="64"/>
            <w:tabs>
              <w:tab w:val="right" w:leader="dot" w:pos="8306"/>
            </w:tabs>
          </w:pPr>
          <w:r>
            <w:fldChar w:fldCharType="begin"/>
          </w:r>
          <w:r>
            <w:instrText xml:space="preserve"> HYPERLINK \l _Toc24571 </w:instrText>
          </w:r>
          <w:r>
            <w:fldChar w:fldCharType="separate"/>
          </w:r>
          <w:r>
            <w:rPr>
              <w:rFonts w:hint="default" w:ascii="Times New Roman" w:hAnsi="Times New Roman" w:eastAsia="宋体" w:cs="Times New Roman"/>
              <w:bCs/>
              <w:szCs w:val="24"/>
              <w:lang w:val="en-US" w:eastAsia="zh-CN"/>
            </w:rPr>
            <w:t>3.1 产业政策符合性分析</w:t>
          </w:r>
          <w:r>
            <w:tab/>
          </w:r>
          <w:r>
            <w:fldChar w:fldCharType="begin"/>
          </w:r>
          <w:r>
            <w:instrText xml:space="preserve"> PAGEREF _Toc24571 \h </w:instrText>
          </w:r>
          <w:r>
            <w:fldChar w:fldCharType="separate"/>
          </w:r>
          <w:r>
            <w:t>7</w:t>
          </w:r>
          <w:r>
            <w:fldChar w:fldCharType="end"/>
          </w:r>
          <w:r>
            <w:fldChar w:fldCharType="end"/>
          </w:r>
        </w:p>
        <w:p>
          <w:pPr>
            <w:pStyle w:val="64"/>
            <w:tabs>
              <w:tab w:val="right" w:leader="dot" w:pos="8306"/>
            </w:tabs>
          </w:pPr>
          <w:r>
            <w:fldChar w:fldCharType="begin"/>
          </w:r>
          <w:r>
            <w:instrText xml:space="preserve"> HYPERLINK \l _Toc10097 </w:instrText>
          </w:r>
          <w:r>
            <w:fldChar w:fldCharType="separate"/>
          </w:r>
          <w:r>
            <w:rPr>
              <w:rFonts w:hint="default" w:ascii="Times New Roman" w:hAnsi="Times New Roman" w:eastAsia="宋体" w:cs="Times New Roman"/>
              <w:bCs/>
              <w:szCs w:val="24"/>
              <w:lang w:val="en-US" w:eastAsia="zh-CN"/>
            </w:rPr>
            <w:t>3.2 工程技术规范及处理处置污染控制标准符合性分析</w:t>
          </w:r>
          <w:r>
            <w:tab/>
          </w:r>
          <w:r>
            <w:fldChar w:fldCharType="begin"/>
          </w:r>
          <w:r>
            <w:instrText xml:space="preserve"> PAGEREF _Toc10097 \h </w:instrText>
          </w:r>
          <w:r>
            <w:fldChar w:fldCharType="separate"/>
          </w:r>
          <w:r>
            <w:t>8</w:t>
          </w:r>
          <w:r>
            <w:fldChar w:fldCharType="end"/>
          </w:r>
          <w:r>
            <w:fldChar w:fldCharType="end"/>
          </w:r>
        </w:p>
        <w:p>
          <w:pPr>
            <w:pStyle w:val="64"/>
            <w:tabs>
              <w:tab w:val="right" w:leader="dot" w:pos="8306"/>
            </w:tabs>
          </w:pPr>
          <w:r>
            <w:fldChar w:fldCharType="begin"/>
          </w:r>
          <w:r>
            <w:instrText xml:space="preserve"> HYPERLINK \l _Toc7682 </w:instrText>
          </w:r>
          <w:r>
            <w:fldChar w:fldCharType="separate"/>
          </w:r>
          <w:r>
            <w:rPr>
              <w:rFonts w:hint="default" w:ascii="Times New Roman" w:hAnsi="Times New Roman" w:eastAsia="宋体" w:cs="Times New Roman"/>
              <w:bCs/>
              <w:szCs w:val="24"/>
              <w:lang w:val="en-US" w:eastAsia="zh-CN"/>
            </w:rPr>
            <w:t>3.3 与《医疗废物管理条例（2011年修订）》的符合性分析</w:t>
          </w:r>
          <w:r>
            <w:tab/>
          </w:r>
          <w:r>
            <w:fldChar w:fldCharType="begin"/>
          </w:r>
          <w:r>
            <w:instrText xml:space="preserve"> PAGEREF _Toc7682 \h </w:instrText>
          </w:r>
          <w:r>
            <w:fldChar w:fldCharType="separate"/>
          </w:r>
          <w:r>
            <w:t>16</w:t>
          </w:r>
          <w:r>
            <w:fldChar w:fldCharType="end"/>
          </w:r>
          <w:r>
            <w:fldChar w:fldCharType="end"/>
          </w:r>
        </w:p>
        <w:p>
          <w:pPr>
            <w:pStyle w:val="64"/>
            <w:tabs>
              <w:tab w:val="right" w:leader="dot" w:pos="8306"/>
            </w:tabs>
          </w:pPr>
          <w:r>
            <w:fldChar w:fldCharType="begin"/>
          </w:r>
          <w:r>
            <w:instrText xml:space="preserve"> HYPERLINK \l _Toc20451 </w:instrText>
          </w:r>
          <w:r>
            <w:fldChar w:fldCharType="separate"/>
          </w:r>
          <w:r>
            <w:rPr>
              <w:rFonts w:hint="default" w:ascii="Times New Roman" w:hAnsi="Times New Roman" w:cs="Times New Roman"/>
              <w:bCs/>
            </w:rPr>
            <w:t>3.5与《内蒙古自治区“十四五”危险废物集中处置设施建设规划》</w:t>
          </w:r>
          <w:r>
            <w:rPr>
              <w:rFonts w:hint="default" w:ascii="Times New Roman" w:hAnsi="Times New Roman" w:cs="Times New Roman"/>
              <w:bCs/>
              <w:lang w:val="en-US" w:eastAsia="zh-CN"/>
            </w:rPr>
            <w:t>符合</w:t>
          </w:r>
          <w:r>
            <w:rPr>
              <w:rFonts w:hint="default" w:ascii="Times New Roman" w:hAnsi="Times New Roman" w:cs="Times New Roman"/>
              <w:bCs/>
            </w:rPr>
            <w:t>性分析</w:t>
          </w:r>
          <w:r>
            <w:tab/>
          </w:r>
          <w:r>
            <w:fldChar w:fldCharType="begin"/>
          </w:r>
          <w:r>
            <w:instrText xml:space="preserve"> PAGEREF _Toc20451 \h </w:instrText>
          </w:r>
          <w:r>
            <w:fldChar w:fldCharType="separate"/>
          </w:r>
          <w:r>
            <w:t>18</w:t>
          </w:r>
          <w:r>
            <w:fldChar w:fldCharType="end"/>
          </w:r>
          <w:r>
            <w:fldChar w:fldCharType="end"/>
          </w:r>
        </w:p>
        <w:p>
          <w:pPr>
            <w:pStyle w:val="64"/>
            <w:tabs>
              <w:tab w:val="right" w:leader="dot" w:pos="8306"/>
            </w:tabs>
          </w:pPr>
          <w:r>
            <w:fldChar w:fldCharType="begin"/>
          </w:r>
          <w:r>
            <w:instrText xml:space="preserve"> HYPERLINK \l _Toc17462 </w:instrText>
          </w:r>
          <w:r>
            <w:fldChar w:fldCharType="separate"/>
          </w:r>
          <w:r>
            <w:rPr>
              <w:rFonts w:hint="eastAsia" w:ascii="宋体" w:hAnsi="宋体" w:eastAsia="宋体" w:cs="宋体"/>
              <w:bCs/>
            </w:rPr>
            <w:t>3.</w:t>
          </w:r>
          <w:r>
            <w:rPr>
              <w:rFonts w:hint="eastAsia" w:ascii="宋体" w:hAnsi="宋体" w:eastAsia="宋体" w:cs="宋体"/>
              <w:bCs/>
              <w:lang w:val="en-US" w:eastAsia="zh-CN"/>
            </w:rPr>
            <w:t xml:space="preserve">6 </w:t>
          </w:r>
          <w:r>
            <w:rPr>
              <w:rFonts w:hint="eastAsia" w:ascii="宋体" w:hAnsi="宋体" w:eastAsia="宋体" w:cs="宋体"/>
              <w:bCs/>
            </w:rPr>
            <w:t>与《</w:t>
          </w:r>
          <w:r>
            <w:rPr>
              <w:rFonts w:hint="eastAsia" w:ascii="宋体" w:hAnsi="宋体" w:eastAsia="宋体" w:cs="宋体"/>
              <w:bCs/>
              <w:lang w:val="en-US" w:eastAsia="zh-CN"/>
            </w:rPr>
            <w:t>兴安盟</w:t>
          </w:r>
          <w:r>
            <w:rPr>
              <w:rFonts w:hint="eastAsia" w:ascii="宋体" w:hAnsi="宋体" w:eastAsia="宋体" w:cs="宋体"/>
              <w:bCs/>
            </w:rPr>
            <w:t>“十四五”</w:t>
          </w:r>
          <w:r>
            <w:rPr>
              <w:rFonts w:hint="eastAsia" w:ascii="宋体" w:hAnsi="宋体" w:eastAsia="宋体" w:cs="宋体"/>
              <w:bCs/>
              <w:lang w:val="en-US" w:eastAsia="zh-CN"/>
            </w:rPr>
            <w:t>生态环境保护规划</w:t>
          </w:r>
          <w:r>
            <w:rPr>
              <w:rFonts w:hint="eastAsia" w:ascii="宋体" w:hAnsi="宋体" w:eastAsia="宋体" w:cs="宋体"/>
              <w:bCs/>
            </w:rPr>
            <w:t>》</w:t>
          </w:r>
          <w:r>
            <w:rPr>
              <w:rFonts w:hint="eastAsia" w:ascii="宋体" w:hAnsi="宋体" w:eastAsia="宋体" w:cs="宋体"/>
              <w:bCs/>
              <w:lang w:val="en-US" w:eastAsia="zh-CN"/>
            </w:rPr>
            <w:t>符合</w:t>
          </w:r>
          <w:r>
            <w:rPr>
              <w:rFonts w:hint="eastAsia" w:ascii="宋体" w:hAnsi="宋体" w:eastAsia="宋体" w:cs="宋体"/>
              <w:bCs/>
            </w:rPr>
            <w:t>性分析</w:t>
          </w:r>
          <w:r>
            <w:tab/>
          </w:r>
          <w:r>
            <w:fldChar w:fldCharType="begin"/>
          </w:r>
          <w:r>
            <w:instrText xml:space="preserve"> PAGEREF _Toc17462 \h </w:instrText>
          </w:r>
          <w:r>
            <w:fldChar w:fldCharType="separate"/>
          </w:r>
          <w:r>
            <w:t>19</w:t>
          </w:r>
          <w:r>
            <w:fldChar w:fldCharType="end"/>
          </w:r>
          <w:r>
            <w:fldChar w:fldCharType="end"/>
          </w:r>
        </w:p>
        <w:p>
          <w:pPr>
            <w:pStyle w:val="64"/>
            <w:tabs>
              <w:tab w:val="right" w:leader="dot" w:pos="8306"/>
            </w:tabs>
          </w:pPr>
          <w:r>
            <w:fldChar w:fldCharType="begin"/>
          </w:r>
          <w:r>
            <w:instrText xml:space="preserve"> HYPERLINK \l _Toc10566 </w:instrText>
          </w:r>
          <w:r>
            <w:fldChar w:fldCharType="separate"/>
          </w:r>
          <w:r>
            <w:rPr>
              <w:rFonts w:hint="eastAsia" w:ascii="Times New Roman" w:hAnsi="Times New Roman" w:eastAsia="宋体" w:cs="Times New Roman"/>
              <w:bCs/>
              <w:szCs w:val="24"/>
              <w:lang w:val="en-US" w:eastAsia="zh-CN"/>
            </w:rPr>
            <w:t xml:space="preserve">3.7 </w:t>
          </w:r>
          <w:r>
            <w:rPr>
              <w:rFonts w:hint="default" w:ascii="Times New Roman" w:hAnsi="Times New Roman" w:eastAsia="宋体" w:cs="Times New Roman"/>
              <w:bCs/>
              <w:szCs w:val="24"/>
              <w:lang w:val="en-US" w:eastAsia="zh-CN"/>
            </w:rPr>
            <w:t>“三线一单”符合性分析</w:t>
          </w:r>
          <w:r>
            <w:tab/>
          </w:r>
          <w:r>
            <w:fldChar w:fldCharType="begin"/>
          </w:r>
          <w:r>
            <w:instrText xml:space="preserve"> PAGEREF _Toc10566 \h </w:instrText>
          </w:r>
          <w:r>
            <w:fldChar w:fldCharType="separate"/>
          </w:r>
          <w:r>
            <w:t>19</w:t>
          </w:r>
          <w:r>
            <w:fldChar w:fldCharType="end"/>
          </w:r>
          <w:r>
            <w:fldChar w:fldCharType="end"/>
          </w:r>
        </w:p>
        <w:p>
          <w:pPr>
            <w:pStyle w:val="64"/>
            <w:tabs>
              <w:tab w:val="right" w:leader="dot" w:pos="8306"/>
            </w:tabs>
          </w:pPr>
          <w:r>
            <w:fldChar w:fldCharType="begin"/>
          </w:r>
          <w:r>
            <w:instrText xml:space="preserve"> HYPERLINK \l _Toc21544 </w:instrText>
          </w:r>
          <w:r>
            <w:fldChar w:fldCharType="separate"/>
          </w:r>
          <w:r>
            <w:rPr>
              <w:rFonts w:hint="default" w:ascii="Times New Roman" w:hAnsi="Times New Roman" w:eastAsia="宋体" w:cs="Times New Roman"/>
              <w:bCs/>
            </w:rPr>
            <w:t>3.</w:t>
          </w:r>
          <w:r>
            <w:rPr>
              <w:rFonts w:hint="eastAsia" w:ascii="Times New Roman" w:hAnsi="Times New Roman" w:eastAsia="宋体" w:cs="Times New Roman"/>
              <w:bCs/>
              <w:lang w:val="en-US" w:eastAsia="zh-CN"/>
            </w:rPr>
            <w:t>8</w:t>
          </w:r>
          <w:r>
            <w:rPr>
              <w:rFonts w:hint="default" w:ascii="Times New Roman" w:hAnsi="Times New Roman" w:eastAsia="宋体" w:cs="Times New Roman"/>
              <w:bCs/>
            </w:rPr>
            <w:t>与</w:t>
          </w:r>
          <w:r>
            <w:rPr>
              <w:rFonts w:hint="default" w:ascii="Times New Roman" w:hAnsi="Times New Roman" w:eastAsia="宋体" w:cs="Times New Roman"/>
              <w:bCs/>
              <w:snapToGrid w:val="0"/>
            </w:rPr>
            <w:t>内蒙古自治区主体功能区划的符合性分析</w:t>
          </w:r>
          <w:r>
            <w:tab/>
          </w:r>
          <w:r>
            <w:fldChar w:fldCharType="begin"/>
          </w:r>
          <w:r>
            <w:instrText xml:space="preserve"> PAGEREF _Toc21544 \h </w:instrText>
          </w:r>
          <w:r>
            <w:fldChar w:fldCharType="separate"/>
          </w:r>
          <w:r>
            <w:t>23</w:t>
          </w:r>
          <w:r>
            <w:fldChar w:fldCharType="end"/>
          </w:r>
          <w:r>
            <w:fldChar w:fldCharType="end"/>
          </w:r>
        </w:p>
        <w:p>
          <w:pPr>
            <w:pStyle w:val="64"/>
            <w:tabs>
              <w:tab w:val="right" w:leader="dot" w:pos="8306"/>
            </w:tabs>
          </w:pPr>
          <w:r>
            <w:fldChar w:fldCharType="begin"/>
          </w:r>
          <w:r>
            <w:instrText xml:space="preserve"> HYPERLINK \l _Toc9407 </w:instrText>
          </w:r>
          <w:r>
            <w:fldChar w:fldCharType="separate"/>
          </w:r>
          <w:r>
            <w:rPr>
              <w:rFonts w:hint="default" w:ascii="Times New Roman" w:hAnsi="Times New Roman" w:cs="Times New Roman"/>
              <w:bCs/>
              <w:szCs w:val="24"/>
              <w:lang w:val="en-US" w:eastAsia="zh-CN"/>
            </w:rPr>
            <w:t>3.</w:t>
          </w:r>
          <w:r>
            <w:rPr>
              <w:rFonts w:hint="eastAsia" w:ascii="Times New Roman" w:hAnsi="Times New Roman" w:cs="Times New Roman"/>
              <w:bCs/>
              <w:szCs w:val="24"/>
              <w:lang w:val="en-US" w:eastAsia="zh-CN"/>
            </w:rPr>
            <w:t>9</w:t>
          </w:r>
          <w:r>
            <w:rPr>
              <w:rFonts w:hint="default" w:ascii="Times New Roman" w:hAnsi="Times New Roman" w:cs="Times New Roman"/>
              <w:bCs/>
              <w:szCs w:val="24"/>
              <w:lang w:val="en-US" w:eastAsia="zh-CN"/>
            </w:rPr>
            <w:t>选址合理性分析</w:t>
          </w:r>
          <w:r>
            <w:tab/>
          </w:r>
          <w:r>
            <w:fldChar w:fldCharType="begin"/>
          </w:r>
          <w:r>
            <w:instrText xml:space="preserve"> PAGEREF _Toc9407 \h </w:instrText>
          </w:r>
          <w:r>
            <w:fldChar w:fldCharType="separate"/>
          </w:r>
          <w:r>
            <w:t>23</w:t>
          </w:r>
          <w:r>
            <w:fldChar w:fldCharType="end"/>
          </w:r>
          <w:r>
            <w:fldChar w:fldCharType="end"/>
          </w:r>
        </w:p>
        <w:p>
          <w:pPr>
            <w:pStyle w:val="63"/>
            <w:tabs>
              <w:tab w:val="right" w:leader="dot" w:pos="8306"/>
            </w:tabs>
          </w:pPr>
          <w:r>
            <w:fldChar w:fldCharType="begin"/>
          </w:r>
          <w:r>
            <w:instrText xml:space="preserve"> HYPERLINK \l _Toc24820 </w:instrText>
          </w:r>
          <w:r>
            <w:fldChar w:fldCharType="separate"/>
          </w:r>
          <w:r>
            <w:rPr>
              <w:rFonts w:hint="default" w:ascii="Times New Roman" w:hAnsi="Times New Roman" w:cs="Times New Roman" w:eastAsiaTheme="minorEastAsia"/>
              <w:bCs/>
              <w:szCs w:val="24"/>
              <w:lang w:val="en-US" w:eastAsia="zh-CN"/>
            </w:rPr>
            <w:t xml:space="preserve">4. </w:t>
          </w:r>
          <w:r>
            <w:rPr>
              <w:rFonts w:hint="default" w:ascii="Times New Roman" w:hAnsi="Times New Roman" w:cs="Times New Roman"/>
              <w:bCs/>
              <w:szCs w:val="24"/>
              <w:lang w:val="en-US" w:eastAsia="zh-CN"/>
            </w:rPr>
            <w:t>关注的主要环境问题</w:t>
          </w:r>
          <w:r>
            <w:tab/>
          </w:r>
          <w:r>
            <w:fldChar w:fldCharType="begin"/>
          </w:r>
          <w:r>
            <w:instrText xml:space="preserve"> PAGEREF _Toc24820 \h </w:instrText>
          </w:r>
          <w:r>
            <w:fldChar w:fldCharType="separate"/>
          </w:r>
          <w:r>
            <w:t>24</w:t>
          </w:r>
          <w:r>
            <w:fldChar w:fldCharType="end"/>
          </w:r>
          <w:r>
            <w:fldChar w:fldCharType="end"/>
          </w:r>
        </w:p>
        <w:p>
          <w:pPr>
            <w:pStyle w:val="63"/>
            <w:tabs>
              <w:tab w:val="right" w:leader="dot" w:pos="8306"/>
            </w:tabs>
          </w:pPr>
          <w:r>
            <w:fldChar w:fldCharType="begin"/>
          </w:r>
          <w:r>
            <w:instrText xml:space="preserve"> HYPERLINK \l _Toc32086 </w:instrText>
          </w:r>
          <w:r>
            <w:fldChar w:fldCharType="separate"/>
          </w:r>
          <w:r>
            <w:rPr>
              <w:rFonts w:hint="default" w:ascii="Times New Roman" w:hAnsi="Times New Roman" w:eastAsia="宋体" w:cs="Times New Roman"/>
              <w:bCs/>
              <w:szCs w:val="24"/>
              <w:lang w:val="en-US" w:eastAsia="zh-CN"/>
            </w:rPr>
            <w:t>5. 环境影响评价报告书的主要结论</w:t>
          </w:r>
          <w:r>
            <w:tab/>
          </w:r>
          <w:r>
            <w:fldChar w:fldCharType="begin"/>
          </w:r>
          <w:r>
            <w:instrText xml:space="preserve"> PAGEREF _Toc32086 \h </w:instrText>
          </w:r>
          <w:r>
            <w:fldChar w:fldCharType="separate"/>
          </w:r>
          <w:r>
            <w:t>24</w:t>
          </w:r>
          <w:r>
            <w:fldChar w:fldCharType="end"/>
          </w:r>
          <w:r>
            <w:fldChar w:fldCharType="end"/>
          </w:r>
        </w:p>
        <w:p>
          <w:pPr>
            <w:pStyle w:val="62"/>
            <w:tabs>
              <w:tab w:val="right" w:leader="dot" w:pos="8306"/>
            </w:tabs>
          </w:pPr>
          <w:r>
            <w:fldChar w:fldCharType="begin"/>
          </w:r>
          <w:r>
            <w:instrText xml:space="preserve"> HYPERLINK \l _Toc25690 </w:instrText>
          </w:r>
          <w:r>
            <w:fldChar w:fldCharType="separate"/>
          </w:r>
          <w:r>
            <w:rPr>
              <w:rFonts w:hint="default" w:ascii="Times New Roman" w:hAnsi="Times New Roman" w:cs="Times New Roman"/>
              <w:lang w:val="en-US" w:eastAsia="zh-CN"/>
            </w:rPr>
            <w:t>第1章 总则</w:t>
          </w:r>
          <w:r>
            <w:tab/>
          </w:r>
          <w:r>
            <w:fldChar w:fldCharType="begin"/>
          </w:r>
          <w:r>
            <w:instrText xml:space="preserve"> PAGEREF _Toc25690 \h </w:instrText>
          </w:r>
          <w:r>
            <w:fldChar w:fldCharType="separate"/>
          </w:r>
          <w:r>
            <w:t>26</w:t>
          </w:r>
          <w:r>
            <w:fldChar w:fldCharType="end"/>
          </w:r>
          <w:r>
            <w:fldChar w:fldCharType="end"/>
          </w:r>
        </w:p>
        <w:p>
          <w:pPr>
            <w:pStyle w:val="63"/>
            <w:tabs>
              <w:tab w:val="right" w:leader="dot" w:pos="8306"/>
            </w:tabs>
          </w:pPr>
          <w:r>
            <w:fldChar w:fldCharType="begin"/>
          </w:r>
          <w:r>
            <w:instrText xml:space="preserve"> HYPERLINK \l _Toc11584 </w:instrText>
          </w:r>
          <w:r>
            <w:fldChar w:fldCharType="separate"/>
          </w:r>
          <w:r>
            <w:rPr>
              <w:rFonts w:hint="default" w:ascii="Times New Roman" w:hAnsi="Times New Roman" w:cs="Times New Roman"/>
            </w:rPr>
            <w:t>1.1编制依据</w:t>
          </w:r>
          <w:r>
            <w:tab/>
          </w:r>
          <w:r>
            <w:fldChar w:fldCharType="begin"/>
          </w:r>
          <w:r>
            <w:instrText xml:space="preserve"> PAGEREF _Toc11584 \h </w:instrText>
          </w:r>
          <w:r>
            <w:fldChar w:fldCharType="separate"/>
          </w:r>
          <w:r>
            <w:t>26</w:t>
          </w:r>
          <w:r>
            <w:fldChar w:fldCharType="end"/>
          </w:r>
          <w:r>
            <w:fldChar w:fldCharType="end"/>
          </w:r>
        </w:p>
        <w:p>
          <w:pPr>
            <w:pStyle w:val="64"/>
            <w:tabs>
              <w:tab w:val="right" w:leader="dot" w:pos="8306"/>
            </w:tabs>
          </w:pPr>
          <w:r>
            <w:fldChar w:fldCharType="begin"/>
          </w:r>
          <w:r>
            <w:instrText xml:space="preserve"> HYPERLINK \l _Toc359 </w:instrText>
          </w:r>
          <w:r>
            <w:fldChar w:fldCharType="separate"/>
          </w:r>
          <w:r>
            <w:rPr>
              <w:rFonts w:hint="default" w:ascii="Times New Roman" w:hAnsi="Times New Roman" w:cs="Times New Roman"/>
            </w:rPr>
            <w:t>1.1.1国家法律法规</w:t>
          </w:r>
          <w:r>
            <w:tab/>
          </w:r>
          <w:r>
            <w:fldChar w:fldCharType="begin"/>
          </w:r>
          <w:r>
            <w:instrText xml:space="preserve"> PAGEREF _Toc359 \h </w:instrText>
          </w:r>
          <w:r>
            <w:fldChar w:fldCharType="separate"/>
          </w:r>
          <w:r>
            <w:t>26</w:t>
          </w:r>
          <w:r>
            <w:fldChar w:fldCharType="end"/>
          </w:r>
          <w:r>
            <w:fldChar w:fldCharType="end"/>
          </w:r>
        </w:p>
        <w:p>
          <w:pPr>
            <w:pStyle w:val="64"/>
            <w:tabs>
              <w:tab w:val="right" w:leader="dot" w:pos="8306"/>
            </w:tabs>
          </w:pPr>
          <w:r>
            <w:fldChar w:fldCharType="begin"/>
          </w:r>
          <w:r>
            <w:instrText xml:space="preserve"> HYPERLINK \l _Toc15961 </w:instrText>
          </w:r>
          <w:r>
            <w:fldChar w:fldCharType="separate"/>
          </w:r>
          <w:r>
            <w:rPr>
              <w:rFonts w:hint="default" w:ascii="Times New Roman" w:hAnsi="Times New Roman" w:cs="Times New Roman"/>
            </w:rPr>
            <w:t>1.1.2地方性法规及规范性文件</w:t>
          </w:r>
          <w:r>
            <w:tab/>
          </w:r>
          <w:r>
            <w:fldChar w:fldCharType="begin"/>
          </w:r>
          <w:r>
            <w:instrText xml:space="preserve"> PAGEREF _Toc15961 \h </w:instrText>
          </w:r>
          <w:r>
            <w:fldChar w:fldCharType="separate"/>
          </w:r>
          <w:r>
            <w:t>27</w:t>
          </w:r>
          <w:r>
            <w:fldChar w:fldCharType="end"/>
          </w:r>
          <w:r>
            <w:fldChar w:fldCharType="end"/>
          </w:r>
        </w:p>
        <w:p>
          <w:pPr>
            <w:pStyle w:val="64"/>
            <w:tabs>
              <w:tab w:val="right" w:leader="dot" w:pos="8306"/>
            </w:tabs>
          </w:pPr>
          <w:r>
            <w:fldChar w:fldCharType="begin"/>
          </w:r>
          <w:r>
            <w:instrText xml:space="preserve"> HYPERLINK \l _Toc18818 </w:instrText>
          </w:r>
          <w:r>
            <w:fldChar w:fldCharType="separate"/>
          </w:r>
          <w:r>
            <w:rPr>
              <w:rFonts w:hint="default" w:ascii="Times New Roman" w:hAnsi="Times New Roman" w:cs="Times New Roman"/>
              <w:bCs/>
            </w:rPr>
            <w:t>1.1.3技术依据</w:t>
          </w:r>
          <w:r>
            <w:tab/>
          </w:r>
          <w:r>
            <w:fldChar w:fldCharType="begin"/>
          </w:r>
          <w:r>
            <w:instrText xml:space="preserve"> PAGEREF _Toc18818 \h </w:instrText>
          </w:r>
          <w:r>
            <w:fldChar w:fldCharType="separate"/>
          </w:r>
          <w:r>
            <w:t>28</w:t>
          </w:r>
          <w:r>
            <w:fldChar w:fldCharType="end"/>
          </w:r>
          <w:r>
            <w:fldChar w:fldCharType="end"/>
          </w:r>
        </w:p>
        <w:p>
          <w:pPr>
            <w:pStyle w:val="64"/>
            <w:tabs>
              <w:tab w:val="right" w:leader="dot" w:pos="8306"/>
            </w:tabs>
          </w:pPr>
          <w:r>
            <w:fldChar w:fldCharType="begin"/>
          </w:r>
          <w:r>
            <w:instrText xml:space="preserve"> HYPERLINK \l _Toc22395 </w:instrText>
          </w:r>
          <w:r>
            <w:fldChar w:fldCharType="separate"/>
          </w:r>
          <w:r>
            <w:rPr>
              <w:rFonts w:hint="default" w:ascii="Times New Roman" w:hAnsi="Times New Roman" w:cs="Times New Roman"/>
              <w:lang w:val="en-US" w:eastAsia="zh-CN"/>
            </w:rPr>
            <w:t>1.1.4 项目资料</w:t>
          </w:r>
          <w:r>
            <w:tab/>
          </w:r>
          <w:r>
            <w:fldChar w:fldCharType="begin"/>
          </w:r>
          <w:r>
            <w:instrText xml:space="preserve"> PAGEREF _Toc22395 \h </w:instrText>
          </w:r>
          <w:r>
            <w:fldChar w:fldCharType="separate"/>
          </w:r>
          <w:r>
            <w:t>29</w:t>
          </w:r>
          <w:r>
            <w:fldChar w:fldCharType="end"/>
          </w:r>
          <w:r>
            <w:fldChar w:fldCharType="end"/>
          </w:r>
        </w:p>
        <w:p>
          <w:pPr>
            <w:pStyle w:val="63"/>
            <w:tabs>
              <w:tab w:val="right" w:leader="dot" w:pos="8306"/>
            </w:tabs>
          </w:pPr>
          <w:r>
            <w:fldChar w:fldCharType="begin"/>
          </w:r>
          <w:r>
            <w:instrText xml:space="preserve"> HYPERLINK \l _Toc32484 </w:instrText>
          </w:r>
          <w:r>
            <w:fldChar w:fldCharType="separate"/>
          </w:r>
          <w:r>
            <w:rPr>
              <w:rFonts w:hint="default" w:ascii="Times New Roman" w:hAnsi="Times New Roman" w:cs="Times New Roman"/>
              <w:lang w:val="en-US" w:eastAsia="zh-CN"/>
            </w:rPr>
            <w:t>1.2 评价目的及重点</w:t>
          </w:r>
          <w:r>
            <w:tab/>
          </w:r>
          <w:r>
            <w:fldChar w:fldCharType="begin"/>
          </w:r>
          <w:r>
            <w:instrText xml:space="preserve"> PAGEREF _Toc32484 \h </w:instrText>
          </w:r>
          <w:r>
            <w:fldChar w:fldCharType="separate"/>
          </w:r>
          <w:r>
            <w:t>29</w:t>
          </w:r>
          <w:r>
            <w:fldChar w:fldCharType="end"/>
          </w:r>
          <w:r>
            <w:fldChar w:fldCharType="end"/>
          </w:r>
        </w:p>
        <w:p>
          <w:pPr>
            <w:pStyle w:val="64"/>
            <w:tabs>
              <w:tab w:val="right" w:leader="dot" w:pos="8306"/>
            </w:tabs>
          </w:pPr>
          <w:r>
            <w:fldChar w:fldCharType="begin"/>
          </w:r>
          <w:r>
            <w:instrText xml:space="preserve"> HYPERLINK \l _Toc13727 </w:instrText>
          </w:r>
          <w:r>
            <w:fldChar w:fldCharType="separate"/>
          </w:r>
          <w:r>
            <w:rPr>
              <w:rFonts w:hint="default" w:ascii="Times New Roman" w:hAnsi="Times New Roman" w:cs="Times New Roman"/>
              <w:lang w:val="en-US" w:eastAsia="zh-CN"/>
            </w:rPr>
            <w:t>1.2.1 评价目的</w:t>
          </w:r>
          <w:r>
            <w:tab/>
          </w:r>
          <w:r>
            <w:fldChar w:fldCharType="begin"/>
          </w:r>
          <w:r>
            <w:instrText xml:space="preserve"> PAGEREF _Toc13727 \h </w:instrText>
          </w:r>
          <w:r>
            <w:fldChar w:fldCharType="separate"/>
          </w:r>
          <w:r>
            <w:t>29</w:t>
          </w:r>
          <w:r>
            <w:fldChar w:fldCharType="end"/>
          </w:r>
          <w:r>
            <w:fldChar w:fldCharType="end"/>
          </w:r>
        </w:p>
        <w:p>
          <w:pPr>
            <w:pStyle w:val="64"/>
            <w:tabs>
              <w:tab w:val="right" w:leader="dot" w:pos="8306"/>
            </w:tabs>
          </w:pPr>
          <w:r>
            <w:fldChar w:fldCharType="begin"/>
          </w:r>
          <w:r>
            <w:instrText xml:space="preserve"> HYPERLINK \l _Toc26557 </w:instrText>
          </w:r>
          <w:r>
            <w:fldChar w:fldCharType="separate"/>
          </w:r>
          <w:r>
            <w:rPr>
              <w:rFonts w:hint="default" w:ascii="Times New Roman" w:hAnsi="Times New Roman" w:cs="Times New Roman"/>
              <w:lang w:val="en-US" w:eastAsia="zh-CN"/>
            </w:rPr>
            <w:t>1.2.2 评价重点</w:t>
          </w:r>
          <w:r>
            <w:tab/>
          </w:r>
          <w:r>
            <w:fldChar w:fldCharType="begin"/>
          </w:r>
          <w:r>
            <w:instrText xml:space="preserve"> PAGEREF _Toc26557 \h </w:instrText>
          </w:r>
          <w:r>
            <w:fldChar w:fldCharType="separate"/>
          </w:r>
          <w:r>
            <w:t>30</w:t>
          </w:r>
          <w:r>
            <w:fldChar w:fldCharType="end"/>
          </w:r>
          <w:r>
            <w:fldChar w:fldCharType="end"/>
          </w:r>
        </w:p>
        <w:p>
          <w:pPr>
            <w:pStyle w:val="63"/>
            <w:tabs>
              <w:tab w:val="right" w:leader="dot" w:pos="8306"/>
            </w:tabs>
          </w:pPr>
          <w:r>
            <w:fldChar w:fldCharType="begin"/>
          </w:r>
          <w:r>
            <w:instrText xml:space="preserve"> HYPERLINK \l _Toc30437 </w:instrText>
          </w:r>
          <w:r>
            <w:fldChar w:fldCharType="separate"/>
          </w:r>
          <w:r>
            <w:rPr>
              <w:rFonts w:hint="default" w:ascii="Times New Roman" w:hAnsi="Times New Roman" w:cs="Times New Roman"/>
              <w:lang w:val="en-US" w:eastAsia="zh-CN"/>
            </w:rPr>
            <w:t>1.3 环境影响因素识别和评价因子筛选</w:t>
          </w:r>
          <w:r>
            <w:tab/>
          </w:r>
          <w:r>
            <w:fldChar w:fldCharType="begin"/>
          </w:r>
          <w:r>
            <w:instrText xml:space="preserve"> PAGEREF _Toc30437 \h </w:instrText>
          </w:r>
          <w:r>
            <w:fldChar w:fldCharType="separate"/>
          </w:r>
          <w:r>
            <w:t>30</w:t>
          </w:r>
          <w:r>
            <w:fldChar w:fldCharType="end"/>
          </w:r>
          <w:r>
            <w:fldChar w:fldCharType="end"/>
          </w:r>
        </w:p>
        <w:p>
          <w:pPr>
            <w:pStyle w:val="64"/>
            <w:tabs>
              <w:tab w:val="right" w:leader="dot" w:pos="8306"/>
            </w:tabs>
          </w:pPr>
          <w:r>
            <w:fldChar w:fldCharType="begin"/>
          </w:r>
          <w:r>
            <w:instrText xml:space="preserve"> HYPERLINK \l _Toc3830 </w:instrText>
          </w:r>
          <w:r>
            <w:fldChar w:fldCharType="separate"/>
          </w:r>
          <w:r>
            <w:rPr>
              <w:rFonts w:hint="default" w:ascii="Times New Roman" w:hAnsi="Times New Roman" w:cs="Times New Roman"/>
              <w:lang w:val="en-US" w:eastAsia="zh-CN"/>
            </w:rPr>
            <w:t>1.3.1 工程排污特征分析</w:t>
          </w:r>
          <w:r>
            <w:tab/>
          </w:r>
          <w:r>
            <w:fldChar w:fldCharType="begin"/>
          </w:r>
          <w:r>
            <w:instrText xml:space="preserve"> PAGEREF _Toc3830 \h </w:instrText>
          </w:r>
          <w:r>
            <w:fldChar w:fldCharType="separate"/>
          </w:r>
          <w:r>
            <w:t>30</w:t>
          </w:r>
          <w:r>
            <w:fldChar w:fldCharType="end"/>
          </w:r>
          <w:r>
            <w:fldChar w:fldCharType="end"/>
          </w:r>
        </w:p>
        <w:p>
          <w:pPr>
            <w:pStyle w:val="64"/>
            <w:tabs>
              <w:tab w:val="right" w:leader="dot" w:pos="8306"/>
            </w:tabs>
          </w:pPr>
          <w:r>
            <w:fldChar w:fldCharType="begin"/>
          </w:r>
          <w:r>
            <w:instrText xml:space="preserve"> HYPERLINK \l _Toc176 </w:instrText>
          </w:r>
          <w:r>
            <w:fldChar w:fldCharType="separate"/>
          </w:r>
          <w:r>
            <w:rPr>
              <w:rFonts w:hint="default" w:ascii="Times New Roman" w:hAnsi="Times New Roman" w:cs="Times New Roman"/>
              <w:lang w:val="en-US" w:eastAsia="zh-CN"/>
            </w:rPr>
            <w:t>1.3.2 环境影响因素识别</w:t>
          </w:r>
          <w:r>
            <w:tab/>
          </w:r>
          <w:r>
            <w:fldChar w:fldCharType="begin"/>
          </w:r>
          <w:r>
            <w:instrText xml:space="preserve"> PAGEREF _Toc176 \h </w:instrText>
          </w:r>
          <w:r>
            <w:fldChar w:fldCharType="separate"/>
          </w:r>
          <w:r>
            <w:t>31</w:t>
          </w:r>
          <w:r>
            <w:fldChar w:fldCharType="end"/>
          </w:r>
          <w:r>
            <w:fldChar w:fldCharType="end"/>
          </w:r>
        </w:p>
        <w:p>
          <w:pPr>
            <w:pStyle w:val="64"/>
            <w:tabs>
              <w:tab w:val="right" w:leader="dot" w:pos="8306"/>
            </w:tabs>
          </w:pPr>
          <w:r>
            <w:fldChar w:fldCharType="begin"/>
          </w:r>
          <w:r>
            <w:instrText xml:space="preserve"> HYPERLINK \l _Toc14174 </w:instrText>
          </w:r>
          <w:r>
            <w:fldChar w:fldCharType="separate"/>
          </w:r>
          <w:r>
            <w:rPr>
              <w:rFonts w:hint="default" w:ascii="Times New Roman" w:hAnsi="Times New Roman" w:cs="Times New Roman"/>
              <w:szCs w:val="30"/>
              <w:lang w:val="en-US" w:eastAsia="zh-CN"/>
            </w:rPr>
            <w:t>1.3.3 评价因子筛选</w:t>
          </w:r>
          <w:r>
            <w:tab/>
          </w:r>
          <w:r>
            <w:fldChar w:fldCharType="begin"/>
          </w:r>
          <w:r>
            <w:instrText xml:space="preserve"> PAGEREF _Toc14174 \h </w:instrText>
          </w:r>
          <w:r>
            <w:fldChar w:fldCharType="separate"/>
          </w:r>
          <w:r>
            <w:t>31</w:t>
          </w:r>
          <w:r>
            <w:fldChar w:fldCharType="end"/>
          </w:r>
          <w:r>
            <w:fldChar w:fldCharType="end"/>
          </w:r>
        </w:p>
        <w:p>
          <w:pPr>
            <w:pStyle w:val="63"/>
            <w:tabs>
              <w:tab w:val="right" w:leader="dot" w:pos="8306"/>
            </w:tabs>
          </w:pPr>
          <w:r>
            <w:fldChar w:fldCharType="begin"/>
          </w:r>
          <w:r>
            <w:instrText xml:space="preserve"> HYPERLINK \l _Toc19826 </w:instrText>
          </w:r>
          <w:r>
            <w:fldChar w:fldCharType="separate"/>
          </w:r>
          <w:r>
            <w:rPr>
              <w:rFonts w:hint="default" w:ascii="Times New Roman" w:hAnsi="Times New Roman" w:eastAsia="宋体" w:cs="Times New Roman"/>
              <w:szCs w:val="30"/>
            </w:rPr>
            <w:t>1.4环境功能区划和评价标准</w:t>
          </w:r>
          <w:r>
            <w:tab/>
          </w:r>
          <w:r>
            <w:fldChar w:fldCharType="begin"/>
          </w:r>
          <w:r>
            <w:instrText xml:space="preserve"> PAGEREF _Toc19826 \h </w:instrText>
          </w:r>
          <w:r>
            <w:fldChar w:fldCharType="separate"/>
          </w:r>
          <w:r>
            <w:t>32</w:t>
          </w:r>
          <w:r>
            <w:fldChar w:fldCharType="end"/>
          </w:r>
          <w:r>
            <w:fldChar w:fldCharType="end"/>
          </w:r>
        </w:p>
        <w:p>
          <w:pPr>
            <w:pStyle w:val="64"/>
            <w:tabs>
              <w:tab w:val="right" w:leader="dot" w:pos="8306"/>
            </w:tabs>
          </w:pPr>
          <w:r>
            <w:fldChar w:fldCharType="begin"/>
          </w:r>
          <w:r>
            <w:instrText xml:space="preserve"> HYPERLINK \l _Toc974 </w:instrText>
          </w:r>
          <w:r>
            <w:fldChar w:fldCharType="separate"/>
          </w:r>
          <w:r>
            <w:rPr>
              <w:rFonts w:hint="default" w:ascii="Times New Roman" w:hAnsi="Times New Roman" w:cs="Times New Roman"/>
              <w:kern w:val="0"/>
            </w:rPr>
            <w:t>1.4.1环境功能区划</w:t>
          </w:r>
          <w:r>
            <w:tab/>
          </w:r>
          <w:r>
            <w:fldChar w:fldCharType="begin"/>
          </w:r>
          <w:r>
            <w:instrText xml:space="preserve"> PAGEREF _Toc974 \h </w:instrText>
          </w:r>
          <w:r>
            <w:fldChar w:fldCharType="separate"/>
          </w:r>
          <w:r>
            <w:t>32</w:t>
          </w:r>
          <w:r>
            <w:fldChar w:fldCharType="end"/>
          </w:r>
          <w:r>
            <w:fldChar w:fldCharType="end"/>
          </w:r>
        </w:p>
        <w:p>
          <w:pPr>
            <w:pStyle w:val="64"/>
            <w:tabs>
              <w:tab w:val="right" w:leader="dot" w:pos="8306"/>
            </w:tabs>
          </w:pPr>
          <w:r>
            <w:fldChar w:fldCharType="begin"/>
          </w:r>
          <w:r>
            <w:instrText xml:space="preserve"> HYPERLINK \l _Toc16927 </w:instrText>
          </w:r>
          <w:r>
            <w:fldChar w:fldCharType="separate"/>
          </w:r>
          <w:r>
            <w:rPr>
              <w:rFonts w:hint="default" w:ascii="Times New Roman" w:hAnsi="Times New Roman" w:cs="Times New Roman"/>
              <w:kern w:val="0"/>
            </w:rPr>
            <w:t>1.4.2评价标准</w:t>
          </w:r>
          <w:r>
            <w:tab/>
          </w:r>
          <w:r>
            <w:fldChar w:fldCharType="begin"/>
          </w:r>
          <w:r>
            <w:instrText xml:space="preserve"> PAGEREF _Toc16927 \h </w:instrText>
          </w:r>
          <w:r>
            <w:fldChar w:fldCharType="separate"/>
          </w:r>
          <w:r>
            <w:t>33</w:t>
          </w:r>
          <w:r>
            <w:fldChar w:fldCharType="end"/>
          </w:r>
          <w:r>
            <w:fldChar w:fldCharType="end"/>
          </w:r>
        </w:p>
        <w:p>
          <w:pPr>
            <w:pStyle w:val="63"/>
            <w:tabs>
              <w:tab w:val="right" w:leader="dot" w:pos="8306"/>
            </w:tabs>
          </w:pPr>
          <w:r>
            <w:fldChar w:fldCharType="begin"/>
          </w:r>
          <w:r>
            <w:instrText xml:space="preserve"> HYPERLINK \l _Toc16750 </w:instrText>
          </w:r>
          <w:r>
            <w:fldChar w:fldCharType="separate"/>
          </w:r>
          <w:r>
            <w:rPr>
              <w:rFonts w:hint="default" w:ascii="Times New Roman" w:hAnsi="Times New Roman" w:eastAsia="宋体" w:cs="Times New Roman"/>
              <w:szCs w:val="30"/>
            </w:rPr>
            <w:t>1.5评价等级及评价范围</w:t>
          </w:r>
          <w:r>
            <w:tab/>
          </w:r>
          <w:r>
            <w:fldChar w:fldCharType="begin"/>
          </w:r>
          <w:r>
            <w:instrText xml:space="preserve"> PAGEREF _Toc16750 \h </w:instrText>
          </w:r>
          <w:r>
            <w:fldChar w:fldCharType="separate"/>
          </w:r>
          <w:r>
            <w:t>39</w:t>
          </w:r>
          <w:r>
            <w:fldChar w:fldCharType="end"/>
          </w:r>
          <w:r>
            <w:fldChar w:fldCharType="end"/>
          </w:r>
        </w:p>
        <w:p>
          <w:pPr>
            <w:pStyle w:val="64"/>
            <w:tabs>
              <w:tab w:val="right" w:leader="dot" w:pos="8306"/>
            </w:tabs>
          </w:pPr>
          <w:r>
            <w:fldChar w:fldCharType="begin"/>
          </w:r>
          <w:r>
            <w:instrText xml:space="preserve"> HYPERLINK \l _Toc14701 </w:instrText>
          </w:r>
          <w:r>
            <w:fldChar w:fldCharType="separate"/>
          </w:r>
          <w:r>
            <w:rPr>
              <w:rFonts w:hint="default" w:ascii="Times New Roman" w:hAnsi="Times New Roman" w:cs="Times New Roman"/>
              <w:kern w:val="0"/>
            </w:rPr>
            <w:t>1.5.1环境空气</w:t>
          </w:r>
          <w:r>
            <w:tab/>
          </w:r>
          <w:r>
            <w:fldChar w:fldCharType="begin"/>
          </w:r>
          <w:r>
            <w:instrText xml:space="preserve"> PAGEREF _Toc14701 \h </w:instrText>
          </w:r>
          <w:r>
            <w:fldChar w:fldCharType="separate"/>
          </w:r>
          <w:r>
            <w:t>39</w:t>
          </w:r>
          <w:r>
            <w:fldChar w:fldCharType="end"/>
          </w:r>
          <w:r>
            <w:fldChar w:fldCharType="end"/>
          </w:r>
        </w:p>
        <w:p>
          <w:pPr>
            <w:pStyle w:val="64"/>
            <w:tabs>
              <w:tab w:val="right" w:leader="dot" w:pos="8306"/>
            </w:tabs>
          </w:pPr>
          <w:r>
            <w:fldChar w:fldCharType="begin"/>
          </w:r>
          <w:r>
            <w:instrText xml:space="preserve"> HYPERLINK \l _Toc16795 </w:instrText>
          </w:r>
          <w:r>
            <w:fldChar w:fldCharType="separate"/>
          </w:r>
          <w:r>
            <w:rPr>
              <w:rFonts w:hint="default" w:ascii="Times New Roman" w:hAnsi="Times New Roman" w:cs="Times New Roman"/>
              <w:kern w:val="0"/>
            </w:rPr>
            <w:t>1.5.2水环境</w:t>
          </w:r>
          <w:r>
            <w:tab/>
          </w:r>
          <w:r>
            <w:fldChar w:fldCharType="begin"/>
          </w:r>
          <w:r>
            <w:instrText xml:space="preserve"> PAGEREF _Toc16795 \h </w:instrText>
          </w:r>
          <w:r>
            <w:fldChar w:fldCharType="separate"/>
          </w:r>
          <w:r>
            <w:t>43</w:t>
          </w:r>
          <w:r>
            <w:fldChar w:fldCharType="end"/>
          </w:r>
          <w:r>
            <w:fldChar w:fldCharType="end"/>
          </w:r>
        </w:p>
        <w:p>
          <w:pPr>
            <w:pStyle w:val="64"/>
            <w:tabs>
              <w:tab w:val="right" w:leader="dot" w:pos="8306"/>
            </w:tabs>
          </w:pPr>
          <w:r>
            <w:fldChar w:fldCharType="begin"/>
          </w:r>
          <w:r>
            <w:instrText xml:space="preserve"> HYPERLINK \l _Toc8891 </w:instrText>
          </w:r>
          <w:r>
            <w:fldChar w:fldCharType="separate"/>
          </w:r>
          <w:r>
            <w:rPr>
              <w:rFonts w:hint="default" w:ascii="Times New Roman" w:hAnsi="Times New Roman" w:cs="Times New Roman"/>
              <w:kern w:val="0"/>
            </w:rPr>
            <w:t>1.5.3声环境</w:t>
          </w:r>
          <w:r>
            <w:tab/>
          </w:r>
          <w:r>
            <w:fldChar w:fldCharType="begin"/>
          </w:r>
          <w:r>
            <w:instrText xml:space="preserve"> PAGEREF _Toc8891 \h </w:instrText>
          </w:r>
          <w:r>
            <w:fldChar w:fldCharType="separate"/>
          </w:r>
          <w:r>
            <w:t>46</w:t>
          </w:r>
          <w:r>
            <w:fldChar w:fldCharType="end"/>
          </w:r>
          <w:r>
            <w:fldChar w:fldCharType="end"/>
          </w:r>
        </w:p>
        <w:p>
          <w:pPr>
            <w:pStyle w:val="64"/>
            <w:tabs>
              <w:tab w:val="right" w:leader="dot" w:pos="8306"/>
            </w:tabs>
          </w:pPr>
          <w:r>
            <w:fldChar w:fldCharType="begin"/>
          </w:r>
          <w:r>
            <w:instrText xml:space="preserve"> HYPERLINK \l _Toc29646 </w:instrText>
          </w:r>
          <w:r>
            <w:fldChar w:fldCharType="separate"/>
          </w:r>
          <w:r>
            <w:rPr>
              <w:rFonts w:hint="default" w:ascii="Times New Roman" w:hAnsi="Times New Roman" w:cs="Times New Roman"/>
              <w:kern w:val="0"/>
            </w:rPr>
            <w:t>1.5.4土壤环境</w:t>
          </w:r>
          <w:r>
            <w:tab/>
          </w:r>
          <w:r>
            <w:fldChar w:fldCharType="begin"/>
          </w:r>
          <w:r>
            <w:instrText xml:space="preserve"> PAGEREF _Toc29646 \h </w:instrText>
          </w:r>
          <w:r>
            <w:fldChar w:fldCharType="separate"/>
          </w:r>
          <w:r>
            <w:t>46</w:t>
          </w:r>
          <w:r>
            <w:fldChar w:fldCharType="end"/>
          </w:r>
          <w:r>
            <w:fldChar w:fldCharType="end"/>
          </w:r>
        </w:p>
        <w:p>
          <w:pPr>
            <w:pStyle w:val="64"/>
            <w:tabs>
              <w:tab w:val="right" w:leader="dot" w:pos="8306"/>
            </w:tabs>
          </w:pPr>
          <w:r>
            <w:fldChar w:fldCharType="begin"/>
          </w:r>
          <w:r>
            <w:instrText xml:space="preserve"> HYPERLINK \l _Toc16109 </w:instrText>
          </w:r>
          <w:r>
            <w:fldChar w:fldCharType="separate"/>
          </w:r>
          <w:r>
            <w:rPr>
              <w:rFonts w:hint="default" w:ascii="Times New Roman" w:hAnsi="Times New Roman" w:cs="Times New Roman"/>
              <w:kern w:val="0"/>
            </w:rPr>
            <w:t>1.5.5环境风险</w:t>
          </w:r>
          <w:r>
            <w:tab/>
          </w:r>
          <w:r>
            <w:fldChar w:fldCharType="begin"/>
          </w:r>
          <w:r>
            <w:instrText xml:space="preserve"> PAGEREF _Toc16109 \h </w:instrText>
          </w:r>
          <w:r>
            <w:fldChar w:fldCharType="separate"/>
          </w:r>
          <w:r>
            <w:t>48</w:t>
          </w:r>
          <w:r>
            <w:fldChar w:fldCharType="end"/>
          </w:r>
          <w:r>
            <w:fldChar w:fldCharType="end"/>
          </w:r>
        </w:p>
        <w:p>
          <w:pPr>
            <w:pStyle w:val="64"/>
            <w:tabs>
              <w:tab w:val="right" w:leader="dot" w:pos="8306"/>
            </w:tabs>
          </w:pPr>
          <w:r>
            <w:fldChar w:fldCharType="begin"/>
          </w:r>
          <w:r>
            <w:instrText xml:space="preserve"> HYPERLINK \l _Toc3963 </w:instrText>
          </w:r>
          <w:r>
            <w:fldChar w:fldCharType="separate"/>
          </w:r>
          <w:r>
            <w:rPr>
              <w:rFonts w:hint="default" w:ascii="Times New Roman" w:hAnsi="Times New Roman" w:cs="Times New Roman"/>
              <w:kern w:val="0"/>
            </w:rPr>
            <w:t>1.5.6生态环境</w:t>
          </w:r>
          <w:r>
            <w:tab/>
          </w:r>
          <w:r>
            <w:fldChar w:fldCharType="begin"/>
          </w:r>
          <w:r>
            <w:instrText xml:space="preserve"> PAGEREF _Toc3963 \h </w:instrText>
          </w:r>
          <w:r>
            <w:fldChar w:fldCharType="separate"/>
          </w:r>
          <w:r>
            <w:t>49</w:t>
          </w:r>
          <w:r>
            <w:fldChar w:fldCharType="end"/>
          </w:r>
          <w:r>
            <w:fldChar w:fldCharType="end"/>
          </w:r>
        </w:p>
        <w:p>
          <w:pPr>
            <w:pStyle w:val="64"/>
            <w:tabs>
              <w:tab w:val="right" w:leader="dot" w:pos="8306"/>
            </w:tabs>
          </w:pPr>
          <w:r>
            <w:fldChar w:fldCharType="begin"/>
          </w:r>
          <w:r>
            <w:instrText xml:space="preserve"> HYPERLINK \l _Toc316 </w:instrText>
          </w:r>
          <w:r>
            <w:fldChar w:fldCharType="separate"/>
          </w:r>
          <w:r>
            <w:rPr>
              <w:rFonts w:hint="default" w:ascii="Times New Roman" w:hAnsi="Times New Roman" w:cs="Times New Roman"/>
              <w:kern w:val="0"/>
            </w:rPr>
            <w:t>1.5.7评价等级及评价范围汇总</w:t>
          </w:r>
          <w:r>
            <w:tab/>
          </w:r>
          <w:r>
            <w:fldChar w:fldCharType="begin"/>
          </w:r>
          <w:r>
            <w:instrText xml:space="preserve"> PAGEREF _Toc316 \h </w:instrText>
          </w:r>
          <w:r>
            <w:fldChar w:fldCharType="separate"/>
          </w:r>
          <w:r>
            <w:t>49</w:t>
          </w:r>
          <w:r>
            <w:fldChar w:fldCharType="end"/>
          </w:r>
          <w:r>
            <w:fldChar w:fldCharType="end"/>
          </w:r>
        </w:p>
        <w:p>
          <w:pPr>
            <w:pStyle w:val="63"/>
            <w:tabs>
              <w:tab w:val="right" w:leader="dot" w:pos="8306"/>
            </w:tabs>
          </w:pPr>
          <w:r>
            <w:fldChar w:fldCharType="begin"/>
          </w:r>
          <w:r>
            <w:instrText xml:space="preserve"> HYPERLINK \l _Toc22058 </w:instrText>
          </w:r>
          <w:r>
            <w:fldChar w:fldCharType="separate"/>
          </w:r>
          <w:r>
            <w:rPr>
              <w:rFonts w:hint="default" w:ascii="Times New Roman" w:hAnsi="Times New Roman" w:eastAsia="宋体" w:cs="Times New Roman"/>
              <w:szCs w:val="30"/>
            </w:rPr>
            <w:t>1.6环境保护目标</w:t>
          </w:r>
          <w:r>
            <w:tab/>
          </w:r>
          <w:r>
            <w:fldChar w:fldCharType="begin"/>
          </w:r>
          <w:r>
            <w:instrText xml:space="preserve"> PAGEREF _Toc22058 \h </w:instrText>
          </w:r>
          <w:r>
            <w:fldChar w:fldCharType="separate"/>
          </w:r>
          <w:r>
            <w:t>50</w:t>
          </w:r>
          <w:r>
            <w:fldChar w:fldCharType="end"/>
          </w:r>
          <w:r>
            <w:fldChar w:fldCharType="end"/>
          </w:r>
        </w:p>
        <w:p>
          <w:pPr>
            <w:pStyle w:val="64"/>
            <w:tabs>
              <w:tab w:val="right" w:leader="dot" w:pos="8306"/>
            </w:tabs>
          </w:pPr>
          <w:r>
            <w:fldChar w:fldCharType="begin"/>
          </w:r>
          <w:r>
            <w:instrText xml:space="preserve"> HYPERLINK \l _Toc7038 </w:instrText>
          </w:r>
          <w:r>
            <w:fldChar w:fldCharType="separate"/>
          </w:r>
          <w:r>
            <w:rPr>
              <w:rFonts w:hint="default" w:ascii="Times New Roman" w:hAnsi="Times New Roman" w:cs="Times New Roman"/>
              <w:kern w:val="0"/>
            </w:rPr>
            <w:t>1.6.1环境空气质量保护目标</w:t>
          </w:r>
          <w:r>
            <w:tab/>
          </w:r>
          <w:r>
            <w:fldChar w:fldCharType="begin"/>
          </w:r>
          <w:r>
            <w:instrText xml:space="preserve"> PAGEREF _Toc7038 \h </w:instrText>
          </w:r>
          <w:r>
            <w:fldChar w:fldCharType="separate"/>
          </w:r>
          <w:r>
            <w:t>50</w:t>
          </w:r>
          <w:r>
            <w:fldChar w:fldCharType="end"/>
          </w:r>
          <w:r>
            <w:fldChar w:fldCharType="end"/>
          </w:r>
        </w:p>
        <w:p>
          <w:pPr>
            <w:pStyle w:val="64"/>
            <w:tabs>
              <w:tab w:val="right" w:leader="dot" w:pos="8306"/>
            </w:tabs>
          </w:pPr>
          <w:r>
            <w:fldChar w:fldCharType="begin"/>
          </w:r>
          <w:r>
            <w:instrText xml:space="preserve"> HYPERLINK \l _Toc30489 </w:instrText>
          </w:r>
          <w:r>
            <w:fldChar w:fldCharType="separate"/>
          </w:r>
          <w:r>
            <w:rPr>
              <w:rFonts w:hint="default" w:ascii="Times New Roman" w:hAnsi="Times New Roman" w:cs="Times New Roman"/>
              <w:kern w:val="0"/>
              <w:highlight w:val="none"/>
            </w:rPr>
            <w:t>1.6.2地下水环境保护目标</w:t>
          </w:r>
          <w:r>
            <w:tab/>
          </w:r>
          <w:r>
            <w:fldChar w:fldCharType="begin"/>
          </w:r>
          <w:r>
            <w:instrText xml:space="preserve"> PAGEREF _Toc30489 \h </w:instrText>
          </w:r>
          <w:r>
            <w:fldChar w:fldCharType="separate"/>
          </w:r>
          <w:r>
            <w:t>50</w:t>
          </w:r>
          <w:r>
            <w:fldChar w:fldCharType="end"/>
          </w:r>
          <w:r>
            <w:fldChar w:fldCharType="end"/>
          </w:r>
        </w:p>
        <w:p>
          <w:pPr>
            <w:pStyle w:val="64"/>
            <w:tabs>
              <w:tab w:val="right" w:leader="dot" w:pos="8306"/>
            </w:tabs>
          </w:pPr>
          <w:r>
            <w:fldChar w:fldCharType="begin"/>
          </w:r>
          <w:r>
            <w:instrText xml:space="preserve"> HYPERLINK \l _Toc14768 </w:instrText>
          </w:r>
          <w:r>
            <w:fldChar w:fldCharType="separate"/>
          </w:r>
          <w:r>
            <w:rPr>
              <w:rFonts w:hint="default" w:ascii="Times New Roman" w:hAnsi="Times New Roman" w:cs="Times New Roman"/>
              <w:kern w:val="0"/>
            </w:rPr>
            <w:t>1.6.3声环境、生态环境、土壤环境保护目标</w:t>
          </w:r>
          <w:r>
            <w:tab/>
          </w:r>
          <w:r>
            <w:fldChar w:fldCharType="begin"/>
          </w:r>
          <w:r>
            <w:instrText xml:space="preserve"> PAGEREF _Toc14768 \h </w:instrText>
          </w:r>
          <w:r>
            <w:fldChar w:fldCharType="separate"/>
          </w:r>
          <w:r>
            <w:t>51</w:t>
          </w:r>
          <w:r>
            <w:fldChar w:fldCharType="end"/>
          </w:r>
          <w:r>
            <w:fldChar w:fldCharType="end"/>
          </w:r>
        </w:p>
        <w:p>
          <w:pPr>
            <w:pStyle w:val="62"/>
            <w:tabs>
              <w:tab w:val="right" w:leader="dot" w:pos="8306"/>
            </w:tabs>
          </w:pPr>
          <w:r>
            <w:fldChar w:fldCharType="begin"/>
          </w:r>
          <w:r>
            <w:instrText xml:space="preserve"> HYPERLINK \l _Toc10533 </w:instrText>
          </w:r>
          <w:r>
            <w:fldChar w:fldCharType="separate"/>
          </w:r>
          <w:r>
            <w:rPr>
              <w:rFonts w:hint="default" w:ascii="Times New Roman" w:hAnsi="Times New Roman" w:cs="Times New Roman"/>
            </w:rPr>
            <w:t>第2章   建设项目工程分析</w:t>
          </w:r>
          <w:r>
            <w:tab/>
          </w:r>
          <w:r>
            <w:fldChar w:fldCharType="begin"/>
          </w:r>
          <w:r>
            <w:instrText xml:space="preserve"> PAGEREF _Toc10533 \h </w:instrText>
          </w:r>
          <w:r>
            <w:fldChar w:fldCharType="separate"/>
          </w:r>
          <w:r>
            <w:t>52</w:t>
          </w:r>
          <w:r>
            <w:fldChar w:fldCharType="end"/>
          </w:r>
          <w:r>
            <w:fldChar w:fldCharType="end"/>
          </w:r>
        </w:p>
        <w:p>
          <w:pPr>
            <w:pStyle w:val="63"/>
            <w:tabs>
              <w:tab w:val="right" w:leader="dot" w:pos="8306"/>
            </w:tabs>
          </w:pPr>
          <w:r>
            <w:fldChar w:fldCharType="begin"/>
          </w:r>
          <w:r>
            <w:instrText xml:space="preserve"> HYPERLINK \l _Toc20167 </w:instrText>
          </w:r>
          <w:r>
            <w:fldChar w:fldCharType="separate"/>
          </w:r>
          <w:r>
            <w:rPr>
              <w:rFonts w:hint="default" w:ascii="Times New Roman" w:hAnsi="Times New Roman" w:eastAsia="宋体" w:cs="Times New Roman"/>
              <w:szCs w:val="30"/>
            </w:rPr>
            <w:t>2.1项目概况</w:t>
          </w:r>
          <w:r>
            <w:tab/>
          </w:r>
          <w:r>
            <w:fldChar w:fldCharType="begin"/>
          </w:r>
          <w:r>
            <w:instrText xml:space="preserve"> PAGEREF _Toc20167 \h </w:instrText>
          </w:r>
          <w:r>
            <w:fldChar w:fldCharType="separate"/>
          </w:r>
          <w:r>
            <w:t>52</w:t>
          </w:r>
          <w:r>
            <w:fldChar w:fldCharType="end"/>
          </w:r>
          <w:r>
            <w:fldChar w:fldCharType="end"/>
          </w:r>
        </w:p>
        <w:p>
          <w:pPr>
            <w:pStyle w:val="64"/>
            <w:tabs>
              <w:tab w:val="right" w:leader="dot" w:pos="8306"/>
            </w:tabs>
          </w:pPr>
          <w:r>
            <w:fldChar w:fldCharType="begin"/>
          </w:r>
          <w:r>
            <w:instrText xml:space="preserve"> HYPERLINK \l _Toc29905 </w:instrText>
          </w:r>
          <w:r>
            <w:fldChar w:fldCharType="separate"/>
          </w:r>
          <w:r>
            <w:rPr>
              <w:rFonts w:hint="default" w:ascii="Times New Roman" w:hAnsi="Times New Roman" w:cs="Times New Roman"/>
            </w:rPr>
            <w:t>2.1.1基本概况</w:t>
          </w:r>
          <w:r>
            <w:tab/>
          </w:r>
          <w:r>
            <w:fldChar w:fldCharType="begin"/>
          </w:r>
          <w:r>
            <w:instrText xml:space="preserve"> PAGEREF _Toc29905 \h </w:instrText>
          </w:r>
          <w:r>
            <w:fldChar w:fldCharType="separate"/>
          </w:r>
          <w:r>
            <w:t>52</w:t>
          </w:r>
          <w:r>
            <w:fldChar w:fldCharType="end"/>
          </w:r>
          <w:r>
            <w:fldChar w:fldCharType="end"/>
          </w:r>
        </w:p>
        <w:p>
          <w:pPr>
            <w:pStyle w:val="64"/>
            <w:tabs>
              <w:tab w:val="right" w:leader="dot" w:pos="8306"/>
            </w:tabs>
          </w:pPr>
          <w:r>
            <w:fldChar w:fldCharType="begin"/>
          </w:r>
          <w:r>
            <w:instrText xml:space="preserve"> HYPERLINK \l _Toc9491 </w:instrText>
          </w:r>
          <w:r>
            <w:fldChar w:fldCharType="separate"/>
          </w:r>
          <w:r>
            <w:rPr>
              <w:rFonts w:hint="default" w:ascii="Times New Roman" w:hAnsi="Times New Roman" w:cs="Times New Roman"/>
              <w:szCs w:val="28"/>
              <w:lang w:val="en-US" w:eastAsia="zh-CN"/>
            </w:rPr>
            <w:t>2.1.2 建设规模及产品方案</w:t>
          </w:r>
          <w:r>
            <w:tab/>
          </w:r>
          <w:r>
            <w:fldChar w:fldCharType="begin"/>
          </w:r>
          <w:r>
            <w:instrText xml:space="preserve"> PAGEREF _Toc9491 \h </w:instrText>
          </w:r>
          <w:r>
            <w:fldChar w:fldCharType="separate"/>
          </w:r>
          <w:r>
            <w:t>53</w:t>
          </w:r>
          <w:r>
            <w:fldChar w:fldCharType="end"/>
          </w:r>
          <w:r>
            <w:fldChar w:fldCharType="end"/>
          </w:r>
        </w:p>
        <w:p>
          <w:pPr>
            <w:pStyle w:val="64"/>
            <w:tabs>
              <w:tab w:val="right" w:leader="dot" w:pos="8306"/>
            </w:tabs>
          </w:pPr>
          <w:r>
            <w:fldChar w:fldCharType="begin"/>
          </w:r>
          <w:r>
            <w:instrText xml:space="preserve"> HYPERLINK \l _Toc14238 </w:instrText>
          </w:r>
          <w:r>
            <w:fldChar w:fldCharType="separate"/>
          </w:r>
          <w:r>
            <w:rPr>
              <w:rFonts w:hint="default" w:ascii="Times New Roman" w:hAnsi="Times New Roman" w:cs="Times New Roman"/>
              <w:szCs w:val="28"/>
              <w:lang w:val="en-US" w:eastAsia="zh-CN"/>
            </w:rPr>
            <w:t>2.1.3 项目组成</w:t>
          </w:r>
          <w:r>
            <w:tab/>
          </w:r>
          <w:r>
            <w:fldChar w:fldCharType="begin"/>
          </w:r>
          <w:r>
            <w:instrText xml:space="preserve"> PAGEREF _Toc14238 \h </w:instrText>
          </w:r>
          <w:r>
            <w:fldChar w:fldCharType="separate"/>
          </w:r>
          <w:r>
            <w:t>53</w:t>
          </w:r>
          <w:r>
            <w:fldChar w:fldCharType="end"/>
          </w:r>
          <w:r>
            <w:fldChar w:fldCharType="end"/>
          </w:r>
        </w:p>
        <w:p>
          <w:pPr>
            <w:pStyle w:val="64"/>
            <w:tabs>
              <w:tab w:val="right" w:leader="dot" w:pos="8306"/>
            </w:tabs>
          </w:pPr>
          <w:r>
            <w:fldChar w:fldCharType="begin"/>
          </w:r>
          <w:r>
            <w:instrText xml:space="preserve"> HYPERLINK \l _Toc14012 </w:instrText>
          </w:r>
          <w:r>
            <w:fldChar w:fldCharType="separate"/>
          </w:r>
          <w:r>
            <w:rPr>
              <w:rFonts w:hint="default" w:ascii="Times New Roman" w:hAnsi="Times New Roman" w:cs="Times New Roman"/>
              <w:szCs w:val="28"/>
              <w:lang w:val="en-US" w:eastAsia="zh-CN"/>
            </w:rPr>
            <w:t>2.1.4 总体平面布置</w:t>
          </w:r>
          <w:r>
            <w:tab/>
          </w:r>
          <w:r>
            <w:fldChar w:fldCharType="begin"/>
          </w:r>
          <w:r>
            <w:instrText xml:space="preserve"> PAGEREF _Toc14012 \h </w:instrText>
          </w:r>
          <w:r>
            <w:fldChar w:fldCharType="separate"/>
          </w:r>
          <w:r>
            <w:t>58</w:t>
          </w:r>
          <w:r>
            <w:fldChar w:fldCharType="end"/>
          </w:r>
          <w:r>
            <w:fldChar w:fldCharType="end"/>
          </w:r>
        </w:p>
        <w:p>
          <w:pPr>
            <w:pStyle w:val="64"/>
            <w:tabs>
              <w:tab w:val="right" w:leader="dot" w:pos="8306"/>
            </w:tabs>
          </w:pPr>
          <w:r>
            <w:fldChar w:fldCharType="begin"/>
          </w:r>
          <w:r>
            <w:instrText xml:space="preserve"> HYPERLINK \l _Toc29461 </w:instrText>
          </w:r>
          <w:r>
            <w:fldChar w:fldCharType="separate"/>
          </w:r>
          <w:r>
            <w:rPr>
              <w:rFonts w:hint="default" w:ascii="Times New Roman" w:hAnsi="Times New Roman" w:cs="Times New Roman"/>
              <w:szCs w:val="28"/>
              <w:lang w:val="en-US" w:eastAsia="zh-CN"/>
            </w:rPr>
            <w:t>2.1.5 处理医疗废物种类、组成、性质</w:t>
          </w:r>
          <w:r>
            <w:tab/>
          </w:r>
          <w:r>
            <w:fldChar w:fldCharType="begin"/>
          </w:r>
          <w:r>
            <w:instrText xml:space="preserve"> PAGEREF _Toc29461 \h </w:instrText>
          </w:r>
          <w:r>
            <w:fldChar w:fldCharType="separate"/>
          </w:r>
          <w:r>
            <w:t>61</w:t>
          </w:r>
          <w:r>
            <w:fldChar w:fldCharType="end"/>
          </w:r>
          <w:r>
            <w:fldChar w:fldCharType="end"/>
          </w:r>
        </w:p>
        <w:p>
          <w:pPr>
            <w:pStyle w:val="64"/>
            <w:tabs>
              <w:tab w:val="right" w:leader="dot" w:pos="8306"/>
            </w:tabs>
          </w:pPr>
          <w:r>
            <w:fldChar w:fldCharType="begin"/>
          </w:r>
          <w:r>
            <w:instrText xml:space="preserve"> HYPERLINK \l _Toc14111 </w:instrText>
          </w:r>
          <w:r>
            <w:fldChar w:fldCharType="separate"/>
          </w:r>
          <w:r>
            <w:rPr>
              <w:rFonts w:hint="default" w:ascii="Times New Roman" w:hAnsi="Times New Roman" w:cs="Times New Roman"/>
              <w:szCs w:val="28"/>
              <w:lang w:val="en-US" w:eastAsia="zh-CN"/>
            </w:rPr>
            <w:t>2.1.6 医疗废物处理方案比选</w:t>
          </w:r>
          <w:r>
            <w:tab/>
          </w:r>
          <w:r>
            <w:fldChar w:fldCharType="begin"/>
          </w:r>
          <w:r>
            <w:instrText xml:space="preserve"> PAGEREF _Toc14111 \h </w:instrText>
          </w:r>
          <w:r>
            <w:fldChar w:fldCharType="separate"/>
          </w:r>
          <w:r>
            <w:t>62</w:t>
          </w:r>
          <w:r>
            <w:fldChar w:fldCharType="end"/>
          </w:r>
          <w:r>
            <w:fldChar w:fldCharType="end"/>
          </w:r>
        </w:p>
        <w:p>
          <w:pPr>
            <w:pStyle w:val="64"/>
            <w:tabs>
              <w:tab w:val="right" w:leader="dot" w:pos="8306"/>
            </w:tabs>
          </w:pPr>
          <w:r>
            <w:fldChar w:fldCharType="begin"/>
          </w:r>
          <w:r>
            <w:instrText xml:space="preserve"> HYPERLINK \l _Toc19761 </w:instrText>
          </w:r>
          <w:r>
            <w:fldChar w:fldCharType="separate"/>
          </w:r>
          <w:r>
            <w:rPr>
              <w:rFonts w:hint="default" w:ascii="Times New Roman" w:hAnsi="Times New Roman" w:cs="Times New Roman"/>
              <w:szCs w:val="28"/>
              <w:lang w:val="en-US" w:eastAsia="zh-CN"/>
            </w:rPr>
            <w:t>2.1.7 医疗废物收集、运输系统</w:t>
          </w:r>
          <w:r>
            <w:tab/>
          </w:r>
          <w:r>
            <w:fldChar w:fldCharType="begin"/>
          </w:r>
          <w:r>
            <w:instrText xml:space="preserve"> PAGEREF _Toc19761 \h </w:instrText>
          </w:r>
          <w:r>
            <w:fldChar w:fldCharType="separate"/>
          </w:r>
          <w:r>
            <w:t>64</w:t>
          </w:r>
          <w:r>
            <w:fldChar w:fldCharType="end"/>
          </w:r>
          <w:r>
            <w:fldChar w:fldCharType="end"/>
          </w:r>
        </w:p>
        <w:p>
          <w:pPr>
            <w:pStyle w:val="64"/>
            <w:tabs>
              <w:tab w:val="right" w:leader="dot" w:pos="8306"/>
            </w:tabs>
          </w:pPr>
          <w:r>
            <w:fldChar w:fldCharType="begin"/>
          </w:r>
          <w:r>
            <w:instrText xml:space="preserve"> HYPERLINK \l _Toc15381 </w:instrText>
          </w:r>
          <w:r>
            <w:fldChar w:fldCharType="separate"/>
          </w:r>
          <w:r>
            <w:rPr>
              <w:rFonts w:hint="default" w:ascii="Times New Roman" w:hAnsi="Times New Roman" w:cs="Times New Roman"/>
              <w:szCs w:val="28"/>
              <w:lang w:val="en-US" w:eastAsia="zh-CN"/>
            </w:rPr>
            <w:t>2.1.8 高温蒸汽消毒处理效果</w:t>
          </w:r>
          <w:r>
            <w:tab/>
          </w:r>
          <w:r>
            <w:fldChar w:fldCharType="begin"/>
          </w:r>
          <w:r>
            <w:instrText xml:space="preserve"> PAGEREF _Toc15381 \h </w:instrText>
          </w:r>
          <w:r>
            <w:fldChar w:fldCharType="separate"/>
          </w:r>
          <w:r>
            <w:t>65</w:t>
          </w:r>
          <w:r>
            <w:fldChar w:fldCharType="end"/>
          </w:r>
          <w:r>
            <w:fldChar w:fldCharType="end"/>
          </w:r>
        </w:p>
        <w:p>
          <w:pPr>
            <w:pStyle w:val="64"/>
            <w:tabs>
              <w:tab w:val="right" w:leader="dot" w:pos="8306"/>
            </w:tabs>
          </w:pPr>
          <w:r>
            <w:fldChar w:fldCharType="begin"/>
          </w:r>
          <w:r>
            <w:instrText xml:space="preserve"> HYPERLINK \l _Toc5391 </w:instrText>
          </w:r>
          <w:r>
            <w:fldChar w:fldCharType="separate"/>
          </w:r>
          <w:r>
            <w:rPr>
              <w:rFonts w:hint="default" w:ascii="Times New Roman" w:hAnsi="Times New Roman" w:cs="Times New Roman"/>
              <w:szCs w:val="28"/>
              <w:lang w:val="en-US" w:eastAsia="zh-CN"/>
            </w:rPr>
            <w:t>2.1.9 依托工程</w:t>
          </w:r>
          <w:r>
            <w:tab/>
          </w:r>
          <w:r>
            <w:fldChar w:fldCharType="begin"/>
          </w:r>
          <w:r>
            <w:instrText xml:space="preserve"> PAGEREF _Toc5391 \h </w:instrText>
          </w:r>
          <w:r>
            <w:fldChar w:fldCharType="separate"/>
          </w:r>
          <w:r>
            <w:t>66</w:t>
          </w:r>
          <w:r>
            <w:fldChar w:fldCharType="end"/>
          </w:r>
          <w:r>
            <w:fldChar w:fldCharType="end"/>
          </w:r>
        </w:p>
        <w:p>
          <w:pPr>
            <w:pStyle w:val="64"/>
            <w:tabs>
              <w:tab w:val="right" w:leader="dot" w:pos="8306"/>
            </w:tabs>
          </w:pPr>
          <w:r>
            <w:fldChar w:fldCharType="begin"/>
          </w:r>
          <w:r>
            <w:instrText xml:space="preserve"> HYPERLINK \l _Toc11877 </w:instrText>
          </w:r>
          <w:r>
            <w:fldChar w:fldCharType="separate"/>
          </w:r>
          <w:r>
            <w:rPr>
              <w:rFonts w:hint="default" w:ascii="Times New Roman" w:hAnsi="Times New Roman" w:eastAsia="宋体" w:cs="Times New Roman"/>
              <w:szCs w:val="28"/>
              <w:lang w:val="en-US" w:eastAsia="zh-CN"/>
            </w:rPr>
            <w:t>2.1.10 主要设备</w:t>
          </w:r>
          <w:r>
            <w:tab/>
          </w:r>
          <w:r>
            <w:fldChar w:fldCharType="begin"/>
          </w:r>
          <w:r>
            <w:instrText xml:space="preserve"> PAGEREF _Toc11877 \h </w:instrText>
          </w:r>
          <w:r>
            <w:fldChar w:fldCharType="separate"/>
          </w:r>
          <w:r>
            <w:t>66</w:t>
          </w:r>
          <w:r>
            <w:fldChar w:fldCharType="end"/>
          </w:r>
          <w:r>
            <w:fldChar w:fldCharType="end"/>
          </w:r>
        </w:p>
        <w:p>
          <w:pPr>
            <w:pStyle w:val="64"/>
            <w:tabs>
              <w:tab w:val="right" w:leader="dot" w:pos="8306"/>
            </w:tabs>
          </w:pPr>
          <w:r>
            <w:fldChar w:fldCharType="begin"/>
          </w:r>
          <w:r>
            <w:instrText xml:space="preserve"> HYPERLINK \l _Toc30209 </w:instrText>
          </w:r>
          <w:r>
            <w:fldChar w:fldCharType="separate"/>
          </w:r>
          <w:r>
            <w:rPr>
              <w:rFonts w:hint="default" w:ascii="Times New Roman" w:hAnsi="Times New Roman" w:cs="Times New Roman"/>
              <w:lang w:val="en-US" w:eastAsia="zh-CN"/>
            </w:rPr>
            <w:t xml:space="preserve">2.1.11 </w:t>
          </w:r>
          <w:r>
            <w:rPr>
              <w:rFonts w:hint="default" w:ascii="Times New Roman" w:hAnsi="Times New Roman" w:cs="Times New Roman"/>
              <w:szCs w:val="28"/>
              <w:lang w:val="en-US" w:eastAsia="zh-CN"/>
            </w:rPr>
            <w:t>主要原辅材料及动力消耗</w:t>
          </w:r>
          <w:r>
            <w:tab/>
          </w:r>
          <w:r>
            <w:fldChar w:fldCharType="begin"/>
          </w:r>
          <w:r>
            <w:instrText xml:space="preserve"> PAGEREF _Toc30209 \h </w:instrText>
          </w:r>
          <w:r>
            <w:fldChar w:fldCharType="separate"/>
          </w:r>
          <w:r>
            <w:t>67</w:t>
          </w:r>
          <w:r>
            <w:fldChar w:fldCharType="end"/>
          </w:r>
          <w:r>
            <w:fldChar w:fldCharType="end"/>
          </w:r>
        </w:p>
        <w:p>
          <w:pPr>
            <w:pStyle w:val="64"/>
            <w:tabs>
              <w:tab w:val="right" w:leader="dot" w:pos="8306"/>
            </w:tabs>
          </w:pPr>
          <w:r>
            <w:fldChar w:fldCharType="begin"/>
          </w:r>
          <w:r>
            <w:instrText xml:space="preserve"> HYPERLINK \l _Toc8958 </w:instrText>
          </w:r>
          <w:r>
            <w:fldChar w:fldCharType="separate"/>
          </w:r>
          <w:r>
            <w:rPr>
              <w:rFonts w:hint="default" w:ascii="Times New Roman" w:hAnsi="Times New Roman" w:cs="Times New Roman"/>
              <w:szCs w:val="28"/>
              <w:lang w:val="en-US" w:eastAsia="zh-CN"/>
            </w:rPr>
            <w:t>2.1.12 劳动定员及工作制度</w:t>
          </w:r>
          <w:r>
            <w:tab/>
          </w:r>
          <w:r>
            <w:fldChar w:fldCharType="begin"/>
          </w:r>
          <w:r>
            <w:instrText xml:space="preserve"> PAGEREF _Toc8958 \h </w:instrText>
          </w:r>
          <w:r>
            <w:fldChar w:fldCharType="separate"/>
          </w:r>
          <w:r>
            <w:t>68</w:t>
          </w:r>
          <w:r>
            <w:fldChar w:fldCharType="end"/>
          </w:r>
          <w:r>
            <w:fldChar w:fldCharType="end"/>
          </w:r>
        </w:p>
        <w:p>
          <w:pPr>
            <w:pStyle w:val="64"/>
            <w:tabs>
              <w:tab w:val="right" w:leader="dot" w:pos="8306"/>
            </w:tabs>
          </w:pPr>
          <w:r>
            <w:fldChar w:fldCharType="begin"/>
          </w:r>
          <w:r>
            <w:instrText xml:space="preserve"> HYPERLINK \l _Toc5255 </w:instrText>
          </w:r>
          <w:r>
            <w:fldChar w:fldCharType="separate"/>
          </w:r>
          <w:r>
            <w:rPr>
              <w:rFonts w:hint="default" w:ascii="Times New Roman" w:hAnsi="Times New Roman" w:cs="Times New Roman"/>
              <w:szCs w:val="28"/>
              <w:lang w:val="en-US" w:eastAsia="zh-CN"/>
            </w:rPr>
            <w:t>2.1.13 公用工程</w:t>
          </w:r>
          <w:r>
            <w:tab/>
          </w:r>
          <w:r>
            <w:fldChar w:fldCharType="begin"/>
          </w:r>
          <w:r>
            <w:instrText xml:space="preserve"> PAGEREF _Toc5255 \h </w:instrText>
          </w:r>
          <w:r>
            <w:fldChar w:fldCharType="separate"/>
          </w:r>
          <w:r>
            <w:t>68</w:t>
          </w:r>
          <w:r>
            <w:fldChar w:fldCharType="end"/>
          </w:r>
          <w:r>
            <w:fldChar w:fldCharType="end"/>
          </w:r>
        </w:p>
        <w:p>
          <w:pPr>
            <w:pStyle w:val="64"/>
            <w:tabs>
              <w:tab w:val="right" w:leader="dot" w:pos="8306"/>
            </w:tabs>
          </w:pPr>
          <w:r>
            <w:fldChar w:fldCharType="begin"/>
          </w:r>
          <w:r>
            <w:instrText xml:space="preserve"> HYPERLINK \l _Toc2717 </w:instrText>
          </w:r>
          <w:r>
            <w:fldChar w:fldCharType="separate"/>
          </w:r>
          <w:r>
            <w:rPr>
              <w:rFonts w:hint="default" w:ascii="Times New Roman" w:hAnsi="Times New Roman" w:cs="Times New Roman"/>
              <w:szCs w:val="28"/>
              <w:lang w:val="en-US" w:eastAsia="zh-CN"/>
            </w:rPr>
            <w:t>2.1.13.2 排水</w:t>
          </w:r>
          <w:r>
            <w:tab/>
          </w:r>
          <w:r>
            <w:fldChar w:fldCharType="begin"/>
          </w:r>
          <w:r>
            <w:instrText xml:space="preserve"> PAGEREF _Toc2717 \h </w:instrText>
          </w:r>
          <w:r>
            <w:fldChar w:fldCharType="separate"/>
          </w:r>
          <w:r>
            <w:t>70</w:t>
          </w:r>
          <w:r>
            <w:fldChar w:fldCharType="end"/>
          </w:r>
          <w:r>
            <w:fldChar w:fldCharType="end"/>
          </w:r>
        </w:p>
        <w:p>
          <w:pPr>
            <w:pStyle w:val="63"/>
            <w:tabs>
              <w:tab w:val="right" w:leader="dot" w:pos="8306"/>
            </w:tabs>
          </w:pPr>
          <w:r>
            <w:fldChar w:fldCharType="begin"/>
          </w:r>
          <w:r>
            <w:instrText xml:space="preserve"> HYPERLINK \l _Toc27573 </w:instrText>
          </w:r>
          <w:r>
            <w:fldChar w:fldCharType="separate"/>
          </w:r>
          <w:r>
            <w:rPr>
              <w:rFonts w:hint="default" w:ascii="Times New Roman" w:hAnsi="Times New Roman" w:cs="Times New Roman"/>
              <w:lang w:val="en-US" w:eastAsia="zh-CN"/>
            </w:rPr>
            <w:t>2.2 影响因素分析</w:t>
          </w:r>
          <w:r>
            <w:tab/>
          </w:r>
          <w:r>
            <w:fldChar w:fldCharType="begin"/>
          </w:r>
          <w:r>
            <w:instrText xml:space="preserve"> PAGEREF _Toc27573 \h </w:instrText>
          </w:r>
          <w:r>
            <w:fldChar w:fldCharType="separate"/>
          </w:r>
          <w:r>
            <w:t>73</w:t>
          </w:r>
          <w:r>
            <w:fldChar w:fldCharType="end"/>
          </w:r>
          <w:r>
            <w:fldChar w:fldCharType="end"/>
          </w:r>
        </w:p>
        <w:p>
          <w:pPr>
            <w:pStyle w:val="64"/>
            <w:tabs>
              <w:tab w:val="right" w:leader="dot" w:pos="8306"/>
            </w:tabs>
          </w:pPr>
          <w:r>
            <w:fldChar w:fldCharType="begin"/>
          </w:r>
          <w:r>
            <w:instrText xml:space="preserve"> HYPERLINK \l _Toc21520 </w:instrText>
          </w:r>
          <w:r>
            <w:fldChar w:fldCharType="separate"/>
          </w:r>
          <w:r>
            <w:rPr>
              <w:rFonts w:hint="default" w:ascii="Times New Roman" w:hAnsi="Times New Roman" w:cs="Times New Roman"/>
              <w:szCs w:val="28"/>
              <w:lang w:val="en-US" w:eastAsia="zh-CN"/>
            </w:rPr>
            <w:t>2.2.1 施工期影响因素分析</w:t>
          </w:r>
          <w:r>
            <w:tab/>
          </w:r>
          <w:r>
            <w:fldChar w:fldCharType="begin"/>
          </w:r>
          <w:r>
            <w:instrText xml:space="preserve"> PAGEREF _Toc21520 \h </w:instrText>
          </w:r>
          <w:r>
            <w:fldChar w:fldCharType="separate"/>
          </w:r>
          <w:r>
            <w:t>73</w:t>
          </w:r>
          <w:r>
            <w:fldChar w:fldCharType="end"/>
          </w:r>
          <w:r>
            <w:fldChar w:fldCharType="end"/>
          </w:r>
        </w:p>
        <w:p>
          <w:pPr>
            <w:pStyle w:val="64"/>
            <w:tabs>
              <w:tab w:val="right" w:leader="dot" w:pos="8306"/>
            </w:tabs>
          </w:pPr>
          <w:r>
            <w:fldChar w:fldCharType="begin"/>
          </w:r>
          <w:r>
            <w:instrText xml:space="preserve"> HYPERLINK \l _Toc14088 </w:instrText>
          </w:r>
          <w:r>
            <w:fldChar w:fldCharType="separate"/>
          </w:r>
          <w:r>
            <w:rPr>
              <w:rFonts w:hint="default" w:ascii="Times New Roman" w:hAnsi="Times New Roman" w:cs="Times New Roman"/>
              <w:szCs w:val="30"/>
              <w:lang w:val="en-US" w:eastAsia="zh-CN"/>
            </w:rPr>
            <w:t>2.2.2 运营期污染影响因素分析</w:t>
          </w:r>
          <w:r>
            <w:tab/>
          </w:r>
          <w:r>
            <w:fldChar w:fldCharType="begin"/>
          </w:r>
          <w:r>
            <w:instrText xml:space="preserve"> PAGEREF _Toc14088 \h </w:instrText>
          </w:r>
          <w:r>
            <w:fldChar w:fldCharType="separate"/>
          </w:r>
          <w:r>
            <w:t>74</w:t>
          </w:r>
          <w:r>
            <w:fldChar w:fldCharType="end"/>
          </w:r>
          <w:r>
            <w:fldChar w:fldCharType="end"/>
          </w:r>
        </w:p>
        <w:p>
          <w:pPr>
            <w:pStyle w:val="63"/>
            <w:tabs>
              <w:tab w:val="right" w:leader="dot" w:pos="8306"/>
            </w:tabs>
          </w:pPr>
          <w:r>
            <w:fldChar w:fldCharType="begin"/>
          </w:r>
          <w:r>
            <w:instrText xml:space="preserve"> HYPERLINK \l _Toc15675 </w:instrText>
          </w:r>
          <w:r>
            <w:fldChar w:fldCharType="separate"/>
          </w:r>
          <w:r>
            <w:rPr>
              <w:rFonts w:hint="default" w:ascii="Times New Roman" w:hAnsi="Times New Roman" w:cs="Times New Roman"/>
              <w:szCs w:val="30"/>
              <w:lang w:val="en-US" w:eastAsia="zh-CN"/>
            </w:rPr>
            <w:t>2.3 污染源源强核算</w:t>
          </w:r>
          <w:r>
            <w:tab/>
          </w:r>
          <w:r>
            <w:fldChar w:fldCharType="begin"/>
          </w:r>
          <w:r>
            <w:instrText xml:space="preserve"> PAGEREF _Toc15675 \h </w:instrText>
          </w:r>
          <w:r>
            <w:fldChar w:fldCharType="separate"/>
          </w:r>
          <w:r>
            <w:t>84</w:t>
          </w:r>
          <w:r>
            <w:fldChar w:fldCharType="end"/>
          </w:r>
          <w:r>
            <w:fldChar w:fldCharType="end"/>
          </w:r>
        </w:p>
        <w:p>
          <w:pPr>
            <w:pStyle w:val="64"/>
            <w:tabs>
              <w:tab w:val="right" w:leader="dot" w:pos="8306"/>
            </w:tabs>
          </w:pPr>
          <w:r>
            <w:fldChar w:fldCharType="begin"/>
          </w:r>
          <w:r>
            <w:instrText xml:space="preserve"> HYPERLINK \l _Toc21441 </w:instrText>
          </w:r>
          <w:r>
            <w:fldChar w:fldCharType="separate"/>
          </w:r>
          <w:r>
            <w:rPr>
              <w:rFonts w:hint="default" w:ascii="Times New Roman" w:hAnsi="Times New Roman" w:cs="Times New Roman"/>
              <w:szCs w:val="30"/>
              <w:lang w:val="en-US" w:eastAsia="zh-CN"/>
            </w:rPr>
            <w:t>2.3.1 水平衡分析</w:t>
          </w:r>
          <w:r>
            <w:tab/>
          </w:r>
          <w:r>
            <w:fldChar w:fldCharType="begin"/>
          </w:r>
          <w:r>
            <w:instrText xml:space="preserve"> PAGEREF _Toc21441 \h </w:instrText>
          </w:r>
          <w:r>
            <w:fldChar w:fldCharType="separate"/>
          </w:r>
          <w:r>
            <w:t>84</w:t>
          </w:r>
          <w:r>
            <w:fldChar w:fldCharType="end"/>
          </w:r>
          <w:r>
            <w:fldChar w:fldCharType="end"/>
          </w:r>
        </w:p>
        <w:p>
          <w:pPr>
            <w:pStyle w:val="64"/>
            <w:tabs>
              <w:tab w:val="right" w:leader="dot" w:pos="8306"/>
            </w:tabs>
          </w:pPr>
          <w:r>
            <w:fldChar w:fldCharType="begin"/>
          </w:r>
          <w:r>
            <w:instrText xml:space="preserve"> HYPERLINK \l _Toc12672 </w:instrText>
          </w:r>
          <w:r>
            <w:fldChar w:fldCharType="separate"/>
          </w:r>
          <w:r>
            <w:rPr>
              <w:rFonts w:hint="default" w:ascii="Times New Roman" w:hAnsi="Times New Roman" w:cs="Times New Roman"/>
              <w:szCs w:val="30"/>
              <w:lang w:val="en-US" w:eastAsia="zh-CN"/>
            </w:rPr>
            <w:t>2.3.2 施工期污染源源强核算</w:t>
          </w:r>
          <w:r>
            <w:tab/>
          </w:r>
          <w:r>
            <w:fldChar w:fldCharType="begin"/>
          </w:r>
          <w:r>
            <w:instrText xml:space="preserve"> PAGEREF _Toc12672 \h </w:instrText>
          </w:r>
          <w:r>
            <w:fldChar w:fldCharType="separate"/>
          </w:r>
          <w:r>
            <w:t>88</w:t>
          </w:r>
          <w:r>
            <w:fldChar w:fldCharType="end"/>
          </w:r>
          <w:r>
            <w:fldChar w:fldCharType="end"/>
          </w:r>
        </w:p>
        <w:p>
          <w:pPr>
            <w:pStyle w:val="64"/>
            <w:tabs>
              <w:tab w:val="right" w:leader="dot" w:pos="8306"/>
            </w:tabs>
          </w:pPr>
          <w:r>
            <w:fldChar w:fldCharType="begin"/>
          </w:r>
          <w:r>
            <w:instrText xml:space="preserve"> HYPERLINK \l _Toc7742 </w:instrText>
          </w:r>
          <w:r>
            <w:fldChar w:fldCharType="separate"/>
          </w:r>
          <w:r>
            <w:rPr>
              <w:rFonts w:hint="default" w:ascii="Times New Roman" w:hAnsi="Times New Roman" w:cs="Times New Roman"/>
              <w:szCs w:val="30"/>
              <w:lang w:val="en-US" w:eastAsia="zh-CN"/>
            </w:rPr>
            <w:t>2.3.3 运营期污染源源强核算</w:t>
          </w:r>
          <w:r>
            <w:tab/>
          </w:r>
          <w:r>
            <w:fldChar w:fldCharType="begin"/>
          </w:r>
          <w:r>
            <w:instrText xml:space="preserve"> PAGEREF _Toc7742 \h </w:instrText>
          </w:r>
          <w:r>
            <w:fldChar w:fldCharType="separate"/>
          </w:r>
          <w:r>
            <w:t>90</w:t>
          </w:r>
          <w:r>
            <w:fldChar w:fldCharType="end"/>
          </w:r>
          <w:r>
            <w:fldChar w:fldCharType="end"/>
          </w:r>
        </w:p>
        <w:p>
          <w:pPr>
            <w:pStyle w:val="64"/>
            <w:tabs>
              <w:tab w:val="right" w:leader="dot" w:pos="8306"/>
            </w:tabs>
          </w:pPr>
          <w:r>
            <w:fldChar w:fldCharType="begin"/>
          </w:r>
          <w:r>
            <w:instrText xml:space="preserve"> HYPERLINK \l _Toc18499 </w:instrText>
          </w:r>
          <w:r>
            <w:fldChar w:fldCharType="separate"/>
          </w:r>
          <w:r>
            <w:rPr>
              <w:rFonts w:hint="default" w:ascii="Times New Roman" w:hAnsi="Times New Roman" w:cs="Times New Roman"/>
              <w:szCs w:val="30"/>
              <w:lang w:val="en-US" w:eastAsia="zh-CN"/>
            </w:rPr>
            <w:t>2.3.4 主要污染源及防治措施汇总</w:t>
          </w:r>
          <w:r>
            <w:tab/>
          </w:r>
          <w:r>
            <w:fldChar w:fldCharType="begin"/>
          </w:r>
          <w:r>
            <w:instrText xml:space="preserve"> PAGEREF _Toc18499 \h </w:instrText>
          </w:r>
          <w:r>
            <w:fldChar w:fldCharType="separate"/>
          </w:r>
          <w:r>
            <w:t>101</w:t>
          </w:r>
          <w:r>
            <w:fldChar w:fldCharType="end"/>
          </w:r>
          <w:r>
            <w:fldChar w:fldCharType="end"/>
          </w:r>
        </w:p>
        <w:p>
          <w:pPr>
            <w:pStyle w:val="64"/>
            <w:tabs>
              <w:tab w:val="right" w:leader="dot" w:pos="8306"/>
            </w:tabs>
          </w:pPr>
          <w:r>
            <w:fldChar w:fldCharType="begin"/>
          </w:r>
          <w:r>
            <w:instrText xml:space="preserve"> HYPERLINK \l _Toc13031 </w:instrText>
          </w:r>
          <w:r>
            <w:fldChar w:fldCharType="separate"/>
          </w:r>
          <w:r>
            <w:rPr>
              <w:rFonts w:hint="default" w:ascii="Times New Roman" w:hAnsi="Times New Roman" w:cs="Times New Roman"/>
              <w:szCs w:val="30"/>
              <w:lang w:val="en-US" w:eastAsia="zh-CN"/>
            </w:rPr>
            <w:t xml:space="preserve">2.3.5 </w:t>
          </w:r>
          <w:r>
            <w:rPr>
              <w:rFonts w:hint="eastAsia" w:ascii="Times New Roman" w:hAnsi="Times New Roman" w:cs="Times New Roman"/>
              <w:szCs w:val="30"/>
              <w:lang w:val="en-US" w:eastAsia="zh-CN"/>
            </w:rPr>
            <w:t>项目物料平衡分析</w:t>
          </w:r>
          <w:r>
            <w:tab/>
          </w:r>
          <w:r>
            <w:fldChar w:fldCharType="begin"/>
          </w:r>
          <w:r>
            <w:instrText xml:space="preserve"> PAGEREF _Toc13031 \h </w:instrText>
          </w:r>
          <w:r>
            <w:fldChar w:fldCharType="separate"/>
          </w:r>
          <w:r>
            <w:t>109</w:t>
          </w:r>
          <w:r>
            <w:fldChar w:fldCharType="end"/>
          </w:r>
          <w:r>
            <w:fldChar w:fldCharType="end"/>
          </w:r>
        </w:p>
        <w:p>
          <w:pPr>
            <w:pStyle w:val="64"/>
            <w:tabs>
              <w:tab w:val="right" w:leader="dot" w:pos="8306"/>
            </w:tabs>
          </w:pPr>
          <w:r>
            <w:fldChar w:fldCharType="begin"/>
          </w:r>
          <w:r>
            <w:instrText xml:space="preserve"> HYPERLINK \l _Toc19606 </w:instrText>
          </w:r>
          <w:r>
            <w:fldChar w:fldCharType="separate"/>
          </w:r>
          <w:r>
            <w:rPr>
              <w:rFonts w:hint="eastAsia" w:ascii="Times New Roman" w:hAnsi="Times New Roman" w:cs="Times New Roman"/>
              <w:szCs w:val="30"/>
              <w:lang w:val="en-US" w:eastAsia="zh-CN"/>
            </w:rPr>
            <w:t>2.3.6非</w:t>
          </w:r>
          <w:r>
            <w:rPr>
              <w:rFonts w:hint="default" w:ascii="Times New Roman" w:hAnsi="Times New Roman" w:cs="Times New Roman"/>
              <w:szCs w:val="30"/>
              <w:lang w:val="en-US" w:eastAsia="zh-CN"/>
            </w:rPr>
            <w:t>正常工况</w:t>
          </w:r>
          <w:r>
            <w:tab/>
          </w:r>
          <w:r>
            <w:fldChar w:fldCharType="begin"/>
          </w:r>
          <w:r>
            <w:instrText xml:space="preserve"> PAGEREF _Toc19606 \h </w:instrText>
          </w:r>
          <w:r>
            <w:fldChar w:fldCharType="separate"/>
          </w:r>
          <w:r>
            <w:t>109</w:t>
          </w:r>
          <w:r>
            <w:fldChar w:fldCharType="end"/>
          </w:r>
          <w:r>
            <w:fldChar w:fldCharType="end"/>
          </w:r>
        </w:p>
        <w:p>
          <w:pPr>
            <w:pStyle w:val="64"/>
            <w:tabs>
              <w:tab w:val="right" w:leader="dot" w:pos="8306"/>
            </w:tabs>
          </w:pPr>
          <w:r>
            <w:fldChar w:fldCharType="begin"/>
          </w:r>
          <w:r>
            <w:instrText xml:space="preserve"> HYPERLINK \l _Toc30627 </w:instrText>
          </w:r>
          <w:r>
            <w:fldChar w:fldCharType="separate"/>
          </w:r>
          <w:r>
            <w:rPr>
              <w:rFonts w:hint="default" w:ascii="Times New Roman" w:hAnsi="Times New Roman" w:cs="Times New Roman"/>
              <w:szCs w:val="30"/>
              <w:lang w:val="en-US" w:eastAsia="zh-CN"/>
            </w:rPr>
            <w:t>2.3.</w:t>
          </w:r>
          <w:r>
            <w:rPr>
              <w:rFonts w:hint="eastAsia" w:ascii="Times New Roman" w:hAnsi="Times New Roman" w:cs="Times New Roman"/>
              <w:szCs w:val="30"/>
              <w:lang w:val="en-US" w:eastAsia="zh-CN"/>
            </w:rPr>
            <w:t>7</w:t>
          </w:r>
          <w:r>
            <w:rPr>
              <w:rFonts w:hint="default" w:ascii="Times New Roman" w:hAnsi="Times New Roman" w:cs="Times New Roman"/>
              <w:szCs w:val="30"/>
              <w:lang w:val="en-US" w:eastAsia="zh-CN"/>
            </w:rPr>
            <w:t xml:space="preserve"> 与排污许可证申请与合法技术规范的衔接</w:t>
          </w:r>
          <w:r>
            <w:tab/>
          </w:r>
          <w:r>
            <w:fldChar w:fldCharType="begin"/>
          </w:r>
          <w:r>
            <w:instrText xml:space="preserve"> PAGEREF _Toc30627 \h </w:instrText>
          </w:r>
          <w:r>
            <w:fldChar w:fldCharType="separate"/>
          </w:r>
          <w:r>
            <w:t>110</w:t>
          </w:r>
          <w:r>
            <w:fldChar w:fldCharType="end"/>
          </w:r>
          <w:r>
            <w:fldChar w:fldCharType="end"/>
          </w:r>
        </w:p>
        <w:p>
          <w:pPr>
            <w:pStyle w:val="64"/>
            <w:tabs>
              <w:tab w:val="right" w:leader="dot" w:pos="8306"/>
            </w:tabs>
          </w:pPr>
          <w:r>
            <w:fldChar w:fldCharType="begin"/>
          </w:r>
          <w:r>
            <w:instrText xml:space="preserve"> HYPERLINK \l _Toc16221 </w:instrText>
          </w:r>
          <w:r>
            <w:fldChar w:fldCharType="separate"/>
          </w:r>
          <w:r>
            <w:rPr>
              <w:rFonts w:hint="default" w:ascii="Times New Roman" w:hAnsi="Times New Roman" w:cs="Times New Roman"/>
              <w:szCs w:val="28"/>
              <w:lang w:val="en-US" w:eastAsia="zh-CN"/>
            </w:rPr>
            <w:t>2.3.8 污染物排放总量控制指标</w:t>
          </w:r>
          <w:r>
            <w:tab/>
          </w:r>
          <w:r>
            <w:fldChar w:fldCharType="begin"/>
          </w:r>
          <w:r>
            <w:instrText xml:space="preserve"> PAGEREF _Toc16221 \h </w:instrText>
          </w:r>
          <w:r>
            <w:fldChar w:fldCharType="separate"/>
          </w:r>
          <w:r>
            <w:t>112</w:t>
          </w:r>
          <w:r>
            <w:fldChar w:fldCharType="end"/>
          </w:r>
          <w:r>
            <w:fldChar w:fldCharType="end"/>
          </w:r>
        </w:p>
        <w:p>
          <w:pPr>
            <w:pStyle w:val="62"/>
            <w:tabs>
              <w:tab w:val="right" w:leader="dot" w:pos="8306"/>
            </w:tabs>
          </w:pPr>
          <w:r>
            <w:fldChar w:fldCharType="begin"/>
          </w:r>
          <w:r>
            <w:instrText xml:space="preserve"> HYPERLINK \l _Toc14845 </w:instrText>
          </w:r>
          <w:r>
            <w:fldChar w:fldCharType="separate"/>
          </w:r>
          <w:r>
            <w:rPr>
              <w:rFonts w:hint="default" w:ascii="Times New Roman" w:hAnsi="Times New Roman" w:cs="Times New Roman"/>
            </w:rPr>
            <w:t>第3章   环境现状调查与评价</w:t>
          </w:r>
          <w:r>
            <w:tab/>
          </w:r>
          <w:r>
            <w:fldChar w:fldCharType="begin"/>
          </w:r>
          <w:r>
            <w:instrText xml:space="preserve"> PAGEREF _Toc14845 \h </w:instrText>
          </w:r>
          <w:r>
            <w:fldChar w:fldCharType="separate"/>
          </w:r>
          <w:r>
            <w:t>113</w:t>
          </w:r>
          <w:r>
            <w:fldChar w:fldCharType="end"/>
          </w:r>
          <w:r>
            <w:fldChar w:fldCharType="end"/>
          </w:r>
        </w:p>
        <w:p>
          <w:pPr>
            <w:pStyle w:val="63"/>
            <w:tabs>
              <w:tab w:val="right" w:leader="dot" w:pos="8306"/>
            </w:tabs>
          </w:pPr>
          <w:r>
            <w:fldChar w:fldCharType="begin"/>
          </w:r>
          <w:r>
            <w:instrText xml:space="preserve"> HYPERLINK \l _Toc3937 </w:instrText>
          </w:r>
          <w:r>
            <w:fldChar w:fldCharType="separate"/>
          </w:r>
          <w:r>
            <w:rPr>
              <w:rFonts w:hint="default" w:ascii="Times New Roman" w:hAnsi="Times New Roman" w:cs="Times New Roman"/>
            </w:rPr>
            <w:t>3.1自然环境概况</w:t>
          </w:r>
          <w:r>
            <w:tab/>
          </w:r>
          <w:r>
            <w:fldChar w:fldCharType="begin"/>
          </w:r>
          <w:r>
            <w:instrText xml:space="preserve"> PAGEREF _Toc3937 \h </w:instrText>
          </w:r>
          <w:r>
            <w:fldChar w:fldCharType="separate"/>
          </w:r>
          <w:r>
            <w:t>113</w:t>
          </w:r>
          <w:r>
            <w:fldChar w:fldCharType="end"/>
          </w:r>
          <w:r>
            <w:fldChar w:fldCharType="end"/>
          </w:r>
        </w:p>
        <w:p>
          <w:pPr>
            <w:pStyle w:val="64"/>
            <w:tabs>
              <w:tab w:val="right" w:leader="dot" w:pos="8306"/>
            </w:tabs>
          </w:pPr>
          <w:r>
            <w:fldChar w:fldCharType="begin"/>
          </w:r>
          <w:r>
            <w:instrText xml:space="preserve"> HYPERLINK \l _Toc20315 </w:instrText>
          </w:r>
          <w:r>
            <w:fldChar w:fldCharType="separate"/>
          </w:r>
          <w:r>
            <w:rPr>
              <w:rFonts w:hint="default" w:ascii="Times New Roman" w:hAnsi="Times New Roman" w:cs="Times New Roman"/>
            </w:rPr>
            <w:t>3.1.1地理位置</w:t>
          </w:r>
          <w:r>
            <w:tab/>
          </w:r>
          <w:r>
            <w:fldChar w:fldCharType="begin"/>
          </w:r>
          <w:r>
            <w:instrText xml:space="preserve"> PAGEREF _Toc20315 \h </w:instrText>
          </w:r>
          <w:r>
            <w:fldChar w:fldCharType="separate"/>
          </w:r>
          <w:r>
            <w:t>113</w:t>
          </w:r>
          <w:r>
            <w:fldChar w:fldCharType="end"/>
          </w:r>
          <w:r>
            <w:fldChar w:fldCharType="end"/>
          </w:r>
        </w:p>
        <w:p>
          <w:pPr>
            <w:pStyle w:val="64"/>
            <w:tabs>
              <w:tab w:val="right" w:leader="dot" w:pos="8306"/>
            </w:tabs>
          </w:pPr>
          <w:r>
            <w:fldChar w:fldCharType="begin"/>
          </w:r>
          <w:r>
            <w:instrText xml:space="preserve"> HYPERLINK \l _Toc24364 </w:instrText>
          </w:r>
          <w:r>
            <w:fldChar w:fldCharType="separate"/>
          </w:r>
          <w:r>
            <w:rPr>
              <w:rFonts w:hint="default" w:ascii="Times New Roman" w:hAnsi="Times New Roman" w:cs="Times New Roman"/>
            </w:rPr>
            <w:t>3.1.2地形地貌</w:t>
          </w:r>
          <w:r>
            <w:tab/>
          </w:r>
          <w:r>
            <w:fldChar w:fldCharType="begin"/>
          </w:r>
          <w:r>
            <w:instrText xml:space="preserve"> PAGEREF _Toc24364 \h </w:instrText>
          </w:r>
          <w:r>
            <w:fldChar w:fldCharType="separate"/>
          </w:r>
          <w:r>
            <w:t>115</w:t>
          </w:r>
          <w:r>
            <w:fldChar w:fldCharType="end"/>
          </w:r>
          <w:r>
            <w:fldChar w:fldCharType="end"/>
          </w:r>
        </w:p>
        <w:p>
          <w:pPr>
            <w:pStyle w:val="64"/>
            <w:tabs>
              <w:tab w:val="right" w:leader="dot" w:pos="8306"/>
            </w:tabs>
          </w:pPr>
          <w:r>
            <w:fldChar w:fldCharType="begin"/>
          </w:r>
          <w:r>
            <w:instrText xml:space="preserve"> HYPERLINK \l _Toc20464 </w:instrText>
          </w:r>
          <w:r>
            <w:fldChar w:fldCharType="separate"/>
          </w:r>
          <w:r>
            <w:rPr>
              <w:rFonts w:hint="default" w:ascii="Times New Roman" w:hAnsi="Times New Roman" w:cs="Times New Roman"/>
            </w:rPr>
            <w:t>3.1.3</w:t>
          </w:r>
          <w:r>
            <w:rPr>
              <w:rFonts w:hint="default" w:ascii="Times New Roman" w:hAnsi="Times New Roman" w:cs="Times New Roman"/>
              <w:lang w:val="en-US" w:eastAsia="zh-CN"/>
            </w:rPr>
            <w:t>区域水文地质</w:t>
          </w:r>
          <w:r>
            <w:tab/>
          </w:r>
          <w:r>
            <w:fldChar w:fldCharType="begin"/>
          </w:r>
          <w:r>
            <w:instrText xml:space="preserve"> PAGEREF _Toc20464 \h </w:instrText>
          </w:r>
          <w:r>
            <w:fldChar w:fldCharType="separate"/>
          </w:r>
          <w:r>
            <w:t>116</w:t>
          </w:r>
          <w:r>
            <w:fldChar w:fldCharType="end"/>
          </w:r>
          <w:r>
            <w:fldChar w:fldCharType="end"/>
          </w:r>
        </w:p>
        <w:p>
          <w:pPr>
            <w:pStyle w:val="64"/>
            <w:tabs>
              <w:tab w:val="right" w:leader="dot" w:pos="8306"/>
            </w:tabs>
          </w:pPr>
          <w:r>
            <w:fldChar w:fldCharType="begin"/>
          </w:r>
          <w:r>
            <w:instrText xml:space="preserve"> HYPERLINK \l _Toc11946 </w:instrText>
          </w:r>
          <w:r>
            <w:fldChar w:fldCharType="separate"/>
          </w:r>
          <w:r>
            <w:rPr>
              <w:rFonts w:hint="default" w:ascii="Times New Roman" w:hAnsi="Times New Roman" w:cs="Times New Roman"/>
            </w:rPr>
            <w:t>3.1.4水文水系</w:t>
          </w:r>
          <w:r>
            <w:tab/>
          </w:r>
          <w:r>
            <w:fldChar w:fldCharType="begin"/>
          </w:r>
          <w:r>
            <w:instrText xml:space="preserve"> PAGEREF _Toc11946 \h </w:instrText>
          </w:r>
          <w:r>
            <w:fldChar w:fldCharType="separate"/>
          </w:r>
          <w:r>
            <w:t>116</w:t>
          </w:r>
          <w:r>
            <w:fldChar w:fldCharType="end"/>
          </w:r>
          <w:r>
            <w:fldChar w:fldCharType="end"/>
          </w:r>
        </w:p>
        <w:p>
          <w:pPr>
            <w:pStyle w:val="64"/>
            <w:tabs>
              <w:tab w:val="right" w:leader="dot" w:pos="8306"/>
            </w:tabs>
          </w:pPr>
          <w:r>
            <w:fldChar w:fldCharType="begin"/>
          </w:r>
          <w:r>
            <w:instrText xml:space="preserve"> HYPERLINK \l _Toc2651 </w:instrText>
          </w:r>
          <w:r>
            <w:fldChar w:fldCharType="separate"/>
          </w:r>
          <w:r>
            <w:rPr>
              <w:rFonts w:hint="default" w:ascii="Times New Roman" w:hAnsi="Times New Roman" w:cs="Times New Roman"/>
            </w:rPr>
            <w:t>3.1.5气候气象</w:t>
          </w:r>
          <w:r>
            <w:tab/>
          </w:r>
          <w:r>
            <w:fldChar w:fldCharType="begin"/>
          </w:r>
          <w:r>
            <w:instrText xml:space="preserve"> PAGEREF _Toc2651 \h </w:instrText>
          </w:r>
          <w:r>
            <w:fldChar w:fldCharType="separate"/>
          </w:r>
          <w:r>
            <w:t>117</w:t>
          </w:r>
          <w:r>
            <w:fldChar w:fldCharType="end"/>
          </w:r>
          <w:r>
            <w:fldChar w:fldCharType="end"/>
          </w:r>
        </w:p>
        <w:p>
          <w:pPr>
            <w:pStyle w:val="64"/>
            <w:tabs>
              <w:tab w:val="right" w:leader="dot" w:pos="8306"/>
            </w:tabs>
          </w:pPr>
          <w:r>
            <w:fldChar w:fldCharType="begin"/>
          </w:r>
          <w:r>
            <w:instrText xml:space="preserve"> HYPERLINK \l _Toc11996 </w:instrText>
          </w:r>
          <w:r>
            <w:fldChar w:fldCharType="separate"/>
          </w:r>
          <w:r>
            <w:rPr>
              <w:rFonts w:hint="default" w:ascii="Times New Roman" w:hAnsi="Times New Roman" w:cs="Times New Roman"/>
            </w:rPr>
            <w:t>3.1.</w:t>
          </w:r>
          <w:r>
            <w:rPr>
              <w:rFonts w:hint="eastAsia" w:ascii="Times New Roman" w:hAnsi="Times New Roman" w:cs="Times New Roman"/>
              <w:lang w:val="en-US" w:eastAsia="zh-CN"/>
            </w:rPr>
            <w:t>6地震烈度</w:t>
          </w:r>
          <w:r>
            <w:tab/>
          </w:r>
          <w:r>
            <w:fldChar w:fldCharType="begin"/>
          </w:r>
          <w:r>
            <w:instrText xml:space="preserve"> PAGEREF _Toc11996 \h </w:instrText>
          </w:r>
          <w:r>
            <w:fldChar w:fldCharType="separate"/>
          </w:r>
          <w:r>
            <w:t>118</w:t>
          </w:r>
          <w:r>
            <w:fldChar w:fldCharType="end"/>
          </w:r>
          <w:r>
            <w:fldChar w:fldCharType="end"/>
          </w:r>
        </w:p>
        <w:p>
          <w:pPr>
            <w:pStyle w:val="63"/>
            <w:tabs>
              <w:tab w:val="right" w:leader="dot" w:pos="8306"/>
            </w:tabs>
          </w:pPr>
          <w:r>
            <w:fldChar w:fldCharType="begin"/>
          </w:r>
          <w:r>
            <w:instrText xml:space="preserve"> HYPERLINK \l _Toc32009 </w:instrText>
          </w:r>
          <w:r>
            <w:fldChar w:fldCharType="separate"/>
          </w:r>
          <w:r>
            <w:rPr>
              <w:rFonts w:hint="default" w:ascii="Times New Roman" w:hAnsi="Times New Roman" w:eastAsia="宋体" w:cs="Times New Roman"/>
              <w:szCs w:val="30"/>
            </w:rPr>
            <w:t>3.2环境质量现状调查与评价</w:t>
          </w:r>
          <w:r>
            <w:tab/>
          </w:r>
          <w:r>
            <w:fldChar w:fldCharType="begin"/>
          </w:r>
          <w:r>
            <w:instrText xml:space="preserve"> PAGEREF _Toc32009 \h </w:instrText>
          </w:r>
          <w:r>
            <w:fldChar w:fldCharType="separate"/>
          </w:r>
          <w:r>
            <w:t>118</w:t>
          </w:r>
          <w:r>
            <w:fldChar w:fldCharType="end"/>
          </w:r>
          <w:r>
            <w:fldChar w:fldCharType="end"/>
          </w:r>
        </w:p>
        <w:p>
          <w:pPr>
            <w:pStyle w:val="64"/>
            <w:tabs>
              <w:tab w:val="right" w:leader="dot" w:pos="8306"/>
            </w:tabs>
          </w:pPr>
          <w:r>
            <w:fldChar w:fldCharType="begin"/>
          </w:r>
          <w:r>
            <w:instrText xml:space="preserve"> HYPERLINK \l _Toc30758 </w:instrText>
          </w:r>
          <w:r>
            <w:fldChar w:fldCharType="separate"/>
          </w:r>
          <w:r>
            <w:rPr>
              <w:rFonts w:hint="default" w:ascii="Times New Roman" w:hAnsi="Times New Roman" w:cs="Times New Roman"/>
              <w:kern w:val="0"/>
            </w:rPr>
            <w:t>3.2.1环境空气质量现状监测与评价</w:t>
          </w:r>
          <w:r>
            <w:tab/>
          </w:r>
          <w:r>
            <w:fldChar w:fldCharType="begin"/>
          </w:r>
          <w:r>
            <w:instrText xml:space="preserve"> PAGEREF _Toc30758 \h </w:instrText>
          </w:r>
          <w:r>
            <w:fldChar w:fldCharType="separate"/>
          </w:r>
          <w:r>
            <w:t>118</w:t>
          </w:r>
          <w:r>
            <w:fldChar w:fldCharType="end"/>
          </w:r>
          <w:r>
            <w:fldChar w:fldCharType="end"/>
          </w:r>
        </w:p>
        <w:p>
          <w:pPr>
            <w:pStyle w:val="64"/>
            <w:tabs>
              <w:tab w:val="right" w:leader="dot" w:pos="8306"/>
            </w:tabs>
          </w:pPr>
          <w:r>
            <w:fldChar w:fldCharType="begin"/>
          </w:r>
          <w:r>
            <w:instrText xml:space="preserve"> HYPERLINK \l _Toc19409 </w:instrText>
          </w:r>
          <w:r>
            <w:fldChar w:fldCharType="separate"/>
          </w:r>
          <w:r>
            <w:rPr>
              <w:rFonts w:hint="default" w:ascii="Times New Roman" w:hAnsi="Times New Roman" w:cs="Times New Roman"/>
              <w:kern w:val="0"/>
            </w:rPr>
            <w:t>3.2.2地下水环境质量现状监测与评价</w:t>
          </w:r>
          <w:r>
            <w:tab/>
          </w:r>
          <w:r>
            <w:fldChar w:fldCharType="begin"/>
          </w:r>
          <w:r>
            <w:instrText xml:space="preserve"> PAGEREF _Toc19409 \h </w:instrText>
          </w:r>
          <w:r>
            <w:fldChar w:fldCharType="separate"/>
          </w:r>
          <w:r>
            <w:t>122</w:t>
          </w:r>
          <w:r>
            <w:fldChar w:fldCharType="end"/>
          </w:r>
          <w:r>
            <w:fldChar w:fldCharType="end"/>
          </w:r>
        </w:p>
        <w:p>
          <w:pPr>
            <w:pStyle w:val="64"/>
            <w:tabs>
              <w:tab w:val="right" w:leader="dot" w:pos="8306"/>
            </w:tabs>
          </w:pPr>
          <w:r>
            <w:fldChar w:fldCharType="begin"/>
          </w:r>
          <w:r>
            <w:instrText xml:space="preserve"> HYPERLINK \l _Toc18880 </w:instrText>
          </w:r>
          <w:r>
            <w:fldChar w:fldCharType="separate"/>
          </w:r>
          <w:r>
            <w:rPr>
              <w:rFonts w:hint="default" w:ascii="Times New Roman" w:hAnsi="Times New Roman" w:cs="Times New Roman"/>
              <w:kern w:val="0"/>
            </w:rPr>
            <w:t>3.2.3声环境质量现状监测与评价</w:t>
          </w:r>
          <w:r>
            <w:tab/>
          </w:r>
          <w:r>
            <w:fldChar w:fldCharType="begin"/>
          </w:r>
          <w:r>
            <w:instrText xml:space="preserve"> PAGEREF _Toc18880 \h </w:instrText>
          </w:r>
          <w:r>
            <w:fldChar w:fldCharType="separate"/>
          </w:r>
          <w:r>
            <w:t>130</w:t>
          </w:r>
          <w:r>
            <w:fldChar w:fldCharType="end"/>
          </w:r>
          <w:r>
            <w:fldChar w:fldCharType="end"/>
          </w:r>
        </w:p>
        <w:p>
          <w:pPr>
            <w:pStyle w:val="64"/>
            <w:tabs>
              <w:tab w:val="right" w:leader="dot" w:pos="8306"/>
            </w:tabs>
          </w:pPr>
          <w:r>
            <w:fldChar w:fldCharType="begin"/>
          </w:r>
          <w:r>
            <w:instrText xml:space="preserve"> HYPERLINK \l _Toc24713 </w:instrText>
          </w:r>
          <w:r>
            <w:fldChar w:fldCharType="separate"/>
          </w:r>
          <w:r>
            <w:rPr>
              <w:rFonts w:hint="default" w:ascii="Times New Roman" w:hAnsi="Times New Roman" w:cs="Times New Roman"/>
              <w:kern w:val="0"/>
            </w:rPr>
            <w:t>3.2.4土壤环境质量现状与评价</w:t>
          </w:r>
          <w:r>
            <w:tab/>
          </w:r>
          <w:r>
            <w:fldChar w:fldCharType="begin"/>
          </w:r>
          <w:r>
            <w:instrText xml:space="preserve"> PAGEREF _Toc24713 \h </w:instrText>
          </w:r>
          <w:r>
            <w:fldChar w:fldCharType="separate"/>
          </w:r>
          <w:r>
            <w:t>131</w:t>
          </w:r>
          <w:r>
            <w:fldChar w:fldCharType="end"/>
          </w:r>
          <w:r>
            <w:fldChar w:fldCharType="end"/>
          </w:r>
        </w:p>
        <w:p>
          <w:pPr>
            <w:pStyle w:val="64"/>
            <w:tabs>
              <w:tab w:val="right" w:leader="dot" w:pos="8306"/>
            </w:tabs>
          </w:pPr>
          <w:r>
            <w:fldChar w:fldCharType="begin"/>
          </w:r>
          <w:r>
            <w:instrText xml:space="preserve"> HYPERLINK \l _Toc28910 </w:instrText>
          </w:r>
          <w:r>
            <w:fldChar w:fldCharType="separate"/>
          </w:r>
          <w:r>
            <w:rPr>
              <w:rFonts w:hint="default" w:ascii="Times New Roman" w:hAnsi="Times New Roman" w:eastAsia="宋体" w:cs="Times New Roman"/>
              <w:bCs/>
              <w:kern w:val="0"/>
              <w:lang w:val="en-US" w:eastAsia="zh-CN"/>
            </w:rPr>
            <w:t>3.2.5生态环境质量现状调查与评价</w:t>
          </w:r>
          <w:r>
            <w:tab/>
          </w:r>
          <w:r>
            <w:fldChar w:fldCharType="begin"/>
          </w:r>
          <w:r>
            <w:instrText xml:space="preserve"> PAGEREF _Toc28910 \h </w:instrText>
          </w:r>
          <w:r>
            <w:fldChar w:fldCharType="separate"/>
          </w:r>
          <w:r>
            <w:t>145</w:t>
          </w:r>
          <w:r>
            <w:fldChar w:fldCharType="end"/>
          </w:r>
          <w:r>
            <w:fldChar w:fldCharType="end"/>
          </w:r>
        </w:p>
        <w:p>
          <w:pPr>
            <w:pStyle w:val="62"/>
            <w:tabs>
              <w:tab w:val="right" w:leader="dot" w:pos="8306"/>
            </w:tabs>
          </w:pPr>
          <w:r>
            <w:fldChar w:fldCharType="begin"/>
          </w:r>
          <w:r>
            <w:instrText xml:space="preserve"> HYPERLINK \l _Toc30773 </w:instrText>
          </w:r>
          <w:r>
            <w:fldChar w:fldCharType="separate"/>
          </w:r>
          <w:r>
            <w:rPr>
              <w:rFonts w:hint="default" w:ascii="Times New Roman" w:hAnsi="Times New Roman" w:cs="Times New Roman"/>
            </w:rPr>
            <w:t>第4章   环境影响预测与评价</w:t>
          </w:r>
          <w:r>
            <w:tab/>
          </w:r>
          <w:r>
            <w:fldChar w:fldCharType="begin"/>
          </w:r>
          <w:r>
            <w:instrText xml:space="preserve"> PAGEREF _Toc30773 \h </w:instrText>
          </w:r>
          <w:r>
            <w:fldChar w:fldCharType="separate"/>
          </w:r>
          <w:r>
            <w:t>148</w:t>
          </w:r>
          <w:r>
            <w:fldChar w:fldCharType="end"/>
          </w:r>
          <w:r>
            <w:fldChar w:fldCharType="end"/>
          </w:r>
        </w:p>
        <w:p>
          <w:pPr>
            <w:pStyle w:val="63"/>
            <w:tabs>
              <w:tab w:val="right" w:leader="dot" w:pos="8306"/>
            </w:tabs>
          </w:pPr>
          <w:r>
            <w:fldChar w:fldCharType="begin"/>
          </w:r>
          <w:r>
            <w:instrText xml:space="preserve"> HYPERLINK \l _Toc21739 </w:instrText>
          </w:r>
          <w:r>
            <w:fldChar w:fldCharType="separate"/>
          </w:r>
          <w:r>
            <w:rPr>
              <w:rFonts w:hint="default" w:ascii="Times New Roman" w:hAnsi="Times New Roman" w:eastAsia="宋体" w:cs="Times New Roman"/>
              <w:szCs w:val="30"/>
            </w:rPr>
            <w:t>4.1施工期环境影响分析</w:t>
          </w:r>
          <w:r>
            <w:tab/>
          </w:r>
          <w:r>
            <w:fldChar w:fldCharType="begin"/>
          </w:r>
          <w:r>
            <w:instrText xml:space="preserve"> PAGEREF _Toc21739 \h </w:instrText>
          </w:r>
          <w:r>
            <w:fldChar w:fldCharType="separate"/>
          </w:r>
          <w:r>
            <w:t>148</w:t>
          </w:r>
          <w:r>
            <w:fldChar w:fldCharType="end"/>
          </w:r>
          <w:r>
            <w:fldChar w:fldCharType="end"/>
          </w:r>
        </w:p>
        <w:p>
          <w:pPr>
            <w:pStyle w:val="64"/>
            <w:tabs>
              <w:tab w:val="right" w:leader="dot" w:pos="8306"/>
            </w:tabs>
          </w:pPr>
          <w:r>
            <w:fldChar w:fldCharType="begin"/>
          </w:r>
          <w:r>
            <w:instrText xml:space="preserve"> HYPERLINK \l _Toc21330 </w:instrText>
          </w:r>
          <w:r>
            <w:fldChar w:fldCharType="separate"/>
          </w:r>
          <w:r>
            <w:rPr>
              <w:rFonts w:hint="default" w:ascii="Times New Roman" w:hAnsi="Times New Roman" w:cs="Times New Roman"/>
              <w:kern w:val="0"/>
            </w:rPr>
            <w:t>4.1.1大气环境影响分析</w:t>
          </w:r>
          <w:r>
            <w:tab/>
          </w:r>
          <w:r>
            <w:fldChar w:fldCharType="begin"/>
          </w:r>
          <w:r>
            <w:instrText xml:space="preserve"> PAGEREF _Toc21330 \h </w:instrText>
          </w:r>
          <w:r>
            <w:fldChar w:fldCharType="separate"/>
          </w:r>
          <w:r>
            <w:t>148</w:t>
          </w:r>
          <w:r>
            <w:fldChar w:fldCharType="end"/>
          </w:r>
          <w:r>
            <w:fldChar w:fldCharType="end"/>
          </w:r>
        </w:p>
        <w:p>
          <w:pPr>
            <w:pStyle w:val="64"/>
            <w:tabs>
              <w:tab w:val="right" w:leader="dot" w:pos="8306"/>
            </w:tabs>
          </w:pPr>
          <w:r>
            <w:fldChar w:fldCharType="begin"/>
          </w:r>
          <w:r>
            <w:instrText xml:space="preserve"> HYPERLINK \l _Toc5622 </w:instrText>
          </w:r>
          <w:r>
            <w:fldChar w:fldCharType="separate"/>
          </w:r>
          <w:r>
            <w:rPr>
              <w:rFonts w:hint="default" w:ascii="Times New Roman" w:hAnsi="Times New Roman" w:cs="Times New Roman"/>
              <w:kern w:val="0"/>
            </w:rPr>
            <w:t>4.1.2水环境影响分析</w:t>
          </w:r>
          <w:r>
            <w:tab/>
          </w:r>
          <w:r>
            <w:fldChar w:fldCharType="begin"/>
          </w:r>
          <w:r>
            <w:instrText xml:space="preserve"> PAGEREF _Toc5622 \h </w:instrText>
          </w:r>
          <w:r>
            <w:fldChar w:fldCharType="separate"/>
          </w:r>
          <w:r>
            <w:t>150</w:t>
          </w:r>
          <w:r>
            <w:fldChar w:fldCharType="end"/>
          </w:r>
          <w:r>
            <w:fldChar w:fldCharType="end"/>
          </w:r>
        </w:p>
        <w:p>
          <w:pPr>
            <w:pStyle w:val="64"/>
            <w:tabs>
              <w:tab w:val="right" w:leader="dot" w:pos="8306"/>
            </w:tabs>
          </w:pPr>
          <w:r>
            <w:fldChar w:fldCharType="begin"/>
          </w:r>
          <w:r>
            <w:instrText xml:space="preserve"> HYPERLINK \l _Toc25137 </w:instrText>
          </w:r>
          <w:r>
            <w:fldChar w:fldCharType="separate"/>
          </w:r>
          <w:r>
            <w:rPr>
              <w:rFonts w:hint="default" w:ascii="Times New Roman" w:hAnsi="Times New Roman" w:cs="Times New Roman"/>
              <w:kern w:val="0"/>
            </w:rPr>
            <w:t>4.1.3声环境影响分析</w:t>
          </w:r>
          <w:r>
            <w:tab/>
          </w:r>
          <w:r>
            <w:fldChar w:fldCharType="begin"/>
          </w:r>
          <w:r>
            <w:instrText xml:space="preserve"> PAGEREF _Toc25137 \h </w:instrText>
          </w:r>
          <w:r>
            <w:fldChar w:fldCharType="separate"/>
          </w:r>
          <w:r>
            <w:t>150</w:t>
          </w:r>
          <w:r>
            <w:fldChar w:fldCharType="end"/>
          </w:r>
          <w:r>
            <w:fldChar w:fldCharType="end"/>
          </w:r>
        </w:p>
        <w:p>
          <w:pPr>
            <w:pStyle w:val="64"/>
            <w:tabs>
              <w:tab w:val="right" w:leader="dot" w:pos="8306"/>
            </w:tabs>
          </w:pPr>
          <w:r>
            <w:fldChar w:fldCharType="begin"/>
          </w:r>
          <w:r>
            <w:instrText xml:space="preserve"> HYPERLINK \l _Toc6133 </w:instrText>
          </w:r>
          <w:r>
            <w:fldChar w:fldCharType="separate"/>
          </w:r>
          <w:r>
            <w:rPr>
              <w:rFonts w:hint="default" w:ascii="Times New Roman" w:hAnsi="Times New Roman" w:cs="Times New Roman"/>
              <w:kern w:val="0"/>
            </w:rPr>
            <w:t>4.1.4固体废物环境影响分析</w:t>
          </w:r>
          <w:r>
            <w:tab/>
          </w:r>
          <w:r>
            <w:fldChar w:fldCharType="begin"/>
          </w:r>
          <w:r>
            <w:instrText xml:space="preserve"> PAGEREF _Toc6133 \h </w:instrText>
          </w:r>
          <w:r>
            <w:fldChar w:fldCharType="separate"/>
          </w:r>
          <w:r>
            <w:t>152</w:t>
          </w:r>
          <w:r>
            <w:fldChar w:fldCharType="end"/>
          </w:r>
          <w:r>
            <w:fldChar w:fldCharType="end"/>
          </w:r>
        </w:p>
        <w:p>
          <w:pPr>
            <w:pStyle w:val="64"/>
            <w:tabs>
              <w:tab w:val="right" w:leader="dot" w:pos="8306"/>
            </w:tabs>
          </w:pPr>
          <w:r>
            <w:fldChar w:fldCharType="begin"/>
          </w:r>
          <w:r>
            <w:instrText xml:space="preserve"> HYPERLINK \l _Toc25211 </w:instrText>
          </w:r>
          <w:r>
            <w:fldChar w:fldCharType="separate"/>
          </w:r>
          <w:r>
            <w:rPr>
              <w:rFonts w:hint="default" w:ascii="Times New Roman" w:hAnsi="Times New Roman" w:cs="Times New Roman"/>
              <w:kern w:val="0"/>
            </w:rPr>
            <w:t>4.1.5生态环境影响分析</w:t>
          </w:r>
          <w:r>
            <w:tab/>
          </w:r>
          <w:r>
            <w:fldChar w:fldCharType="begin"/>
          </w:r>
          <w:r>
            <w:instrText xml:space="preserve"> PAGEREF _Toc25211 \h </w:instrText>
          </w:r>
          <w:r>
            <w:fldChar w:fldCharType="separate"/>
          </w:r>
          <w:r>
            <w:t>152</w:t>
          </w:r>
          <w:r>
            <w:fldChar w:fldCharType="end"/>
          </w:r>
          <w:r>
            <w:fldChar w:fldCharType="end"/>
          </w:r>
        </w:p>
        <w:p>
          <w:pPr>
            <w:pStyle w:val="63"/>
            <w:tabs>
              <w:tab w:val="right" w:leader="dot" w:pos="8306"/>
            </w:tabs>
          </w:pPr>
          <w:r>
            <w:fldChar w:fldCharType="begin"/>
          </w:r>
          <w:r>
            <w:instrText xml:space="preserve"> HYPERLINK \l _Toc19943 </w:instrText>
          </w:r>
          <w:r>
            <w:fldChar w:fldCharType="separate"/>
          </w:r>
          <w:r>
            <w:rPr>
              <w:rFonts w:hint="default" w:ascii="Times New Roman" w:hAnsi="Times New Roman" w:eastAsia="宋体" w:cs="Times New Roman"/>
              <w:szCs w:val="30"/>
            </w:rPr>
            <w:t>4.2运营期环境影响分析与评价</w:t>
          </w:r>
          <w:r>
            <w:tab/>
          </w:r>
          <w:r>
            <w:fldChar w:fldCharType="begin"/>
          </w:r>
          <w:r>
            <w:instrText xml:space="preserve"> PAGEREF _Toc19943 \h </w:instrText>
          </w:r>
          <w:r>
            <w:fldChar w:fldCharType="separate"/>
          </w:r>
          <w:r>
            <w:t>153</w:t>
          </w:r>
          <w:r>
            <w:fldChar w:fldCharType="end"/>
          </w:r>
          <w:r>
            <w:fldChar w:fldCharType="end"/>
          </w:r>
        </w:p>
        <w:p>
          <w:pPr>
            <w:pStyle w:val="64"/>
            <w:tabs>
              <w:tab w:val="right" w:leader="dot" w:pos="8306"/>
            </w:tabs>
          </w:pPr>
          <w:r>
            <w:fldChar w:fldCharType="begin"/>
          </w:r>
          <w:r>
            <w:instrText xml:space="preserve"> HYPERLINK \l _Toc16219 </w:instrText>
          </w:r>
          <w:r>
            <w:fldChar w:fldCharType="separate"/>
          </w:r>
          <w:r>
            <w:rPr>
              <w:rFonts w:hint="default" w:ascii="Times New Roman" w:hAnsi="Times New Roman" w:cs="Times New Roman"/>
              <w:kern w:val="0"/>
            </w:rPr>
            <w:t>4.2.1大气环境影响预测与评价</w:t>
          </w:r>
          <w:r>
            <w:tab/>
          </w:r>
          <w:r>
            <w:fldChar w:fldCharType="begin"/>
          </w:r>
          <w:r>
            <w:instrText xml:space="preserve"> PAGEREF _Toc16219 \h </w:instrText>
          </w:r>
          <w:r>
            <w:fldChar w:fldCharType="separate"/>
          </w:r>
          <w:r>
            <w:t>153</w:t>
          </w:r>
          <w:r>
            <w:fldChar w:fldCharType="end"/>
          </w:r>
          <w:r>
            <w:fldChar w:fldCharType="end"/>
          </w:r>
        </w:p>
        <w:p>
          <w:pPr>
            <w:pStyle w:val="64"/>
            <w:tabs>
              <w:tab w:val="right" w:leader="dot" w:pos="8306"/>
            </w:tabs>
          </w:pPr>
          <w:r>
            <w:fldChar w:fldCharType="begin"/>
          </w:r>
          <w:r>
            <w:instrText xml:space="preserve"> HYPERLINK \l _Toc20934 </w:instrText>
          </w:r>
          <w:r>
            <w:fldChar w:fldCharType="separate"/>
          </w:r>
          <w:r>
            <w:rPr>
              <w:rFonts w:hint="default" w:ascii="Times New Roman" w:hAnsi="Times New Roman" w:cs="Times New Roman"/>
              <w:kern w:val="0"/>
            </w:rPr>
            <w:t>4.2.2地表水环境影响分析</w:t>
          </w:r>
          <w:r>
            <w:tab/>
          </w:r>
          <w:r>
            <w:fldChar w:fldCharType="begin"/>
          </w:r>
          <w:r>
            <w:instrText xml:space="preserve"> PAGEREF _Toc20934 \h </w:instrText>
          </w:r>
          <w:r>
            <w:fldChar w:fldCharType="separate"/>
          </w:r>
          <w:r>
            <w:t>162</w:t>
          </w:r>
          <w:r>
            <w:fldChar w:fldCharType="end"/>
          </w:r>
          <w:r>
            <w:fldChar w:fldCharType="end"/>
          </w:r>
        </w:p>
        <w:p>
          <w:pPr>
            <w:pStyle w:val="64"/>
            <w:tabs>
              <w:tab w:val="right" w:leader="dot" w:pos="8306"/>
            </w:tabs>
          </w:pPr>
          <w:r>
            <w:fldChar w:fldCharType="begin"/>
          </w:r>
          <w:r>
            <w:instrText xml:space="preserve"> HYPERLINK \l _Toc8283 </w:instrText>
          </w:r>
          <w:r>
            <w:fldChar w:fldCharType="separate"/>
          </w:r>
          <w:r>
            <w:rPr>
              <w:rFonts w:hint="default" w:ascii="Times New Roman" w:hAnsi="Times New Roman" w:cs="Times New Roman"/>
              <w:kern w:val="0"/>
              <w:szCs w:val="32"/>
            </w:rPr>
            <w:t>4.2.3地下水环境预测与评价</w:t>
          </w:r>
          <w:r>
            <w:tab/>
          </w:r>
          <w:r>
            <w:fldChar w:fldCharType="begin"/>
          </w:r>
          <w:r>
            <w:instrText xml:space="preserve"> PAGEREF _Toc8283 \h </w:instrText>
          </w:r>
          <w:r>
            <w:fldChar w:fldCharType="separate"/>
          </w:r>
          <w:r>
            <w:t>163</w:t>
          </w:r>
          <w:r>
            <w:fldChar w:fldCharType="end"/>
          </w:r>
          <w:r>
            <w:fldChar w:fldCharType="end"/>
          </w:r>
        </w:p>
        <w:p>
          <w:pPr>
            <w:pStyle w:val="64"/>
            <w:tabs>
              <w:tab w:val="right" w:leader="dot" w:pos="8306"/>
            </w:tabs>
          </w:pPr>
          <w:r>
            <w:fldChar w:fldCharType="begin"/>
          </w:r>
          <w:r>
            <w:instrText xml:space="preserve"> HYPERLINK \l _Toc13451 </w:instrText>
          </w:r>
          <w:r>
            <w:fldChar w:fldCharType="separate"/>
          </w:r>
          <w:r>
            <w:rPr>
              <w:rFonts w:hint="default" w:ascii="Times New Roman" w:hAnsi="Times New Roman" w:cs="Times New Roman"/>
              <w:kern w:val="0"/>
              <w:szCs w:val="21"/>
            </w:rPr>
            <w:t>4.2.4噪声环境影响分析</w:t>
          </w:r>
          <w:r>
            <w:tab/>
          </w:r>
          <w:r>
            <w:fldChar w:fldCharType="begin"/>
          </w:r>
          <w:r>
            <w:instrText xml:space="preserve"> PAGEREF _Toc13451 \h </w:instrText>
          </w:r>
          <w:r>
            <w:fldChar w:fldCharType="separate"/>
          </w:r>
          <w:r>
            <w:t>178</w:t>
          </w:r>
          <w:r>
            <w:fldChar w:fldCharType="end"/>
          </w:r>
          <w:r>
            <w:fldChar w:fldCharType="end"/>
          </w:r>
        </w:p>
        <w:p>
          <w:pPr>
            <w:pStyle w:val="64"/>
            <w:tabs>
              <w:tab w:val="right" w:leader="dot" w:pos="8306"/>
            </w:tabs>
          </w:pPr>
          <w:r>
            <w:fldChar w:fldCharType="begin"/>
          </w:r>
          <w:r>
            <w:instrText xml:space="preserve"> HYPERLINK \l _Toc989 </w:instrText>
          </w:r>
          <w:r>
            <w:fldChar w:fldCharType="separate"/>
          </w:r>
          <w:r>
            <w:rPr>
              <w:rFonts w:hint="default" w:ascii="Times New Roman" w:hAnsi="Times New Roman" w:cs="Times New Roman"/>
              <w:kern w:val="0"/>
            </w:rPr>
            <w:t>4.2.5固体废物环境影响分析</w:t>
          </w:r>
          <w:r>
            <w:tab/>
          </w:r>
          <w:r>
            <w:fldChar w:fldCharType="begin"/>
          </w:r>
          <w:r>
            <w:instrText xml:space="preserve"> PAGEREF _Toc989 \h </w:instrText>
          </w:r>
          <w:r>
            <w:fldChar w:fldCharType="separate"/>
          </w:r>
          <w:r>
            <w:t>181</w:t>
          </w:r>
          <w:r>
            <w:fldChar w:fldCharType="end"/>
          </w:r>
          <w:r>
            <w:fldChar w:fldCharType="end"/>
          </w:r>
        </w:p>
        <w:p>
          <w:pPr>
            <w:pStyle w:val="64"/>
            <w:tabs>
              <w:tab w:val="right" w:leader="dot" w:pos="8306"/>
            </w:tabs>
          </w:pPr>
          <w:r>
            <w:fldChar w:fldCharType="begin"/>
          </w:r>
          <w:r>
            <w:instrText xml:space="preserve"> HYPERLINK \l _Toc3889 </w:instrText>
          </w:r>
          <w:r>
            <w:fldChar w:fldCharType="separate"/>
          </w:r>
          <w:r>
            <w:rPr>
              <w:rFonts w:hint="default" w:ascii="Times New Roman" w:hAnsi="Times New Roman" w:cs="Times New Roman"/>
              <w:kern w:val="0"/>
            </w:rPr>
            <w:t>4.2.6土壤环境影响分析</w:t>
          </w:r>
          <w:r>
            <w:tab/>
          </w:r>
          <w:r>
            <w:fldChar w:fldCharType="begin"/>
          </w:r>
          <w:r>
            <w:instrText xml:space="preserve"> PAGEREF _Toc3889 \h </w:instrText>
          </w:r>
          <w:r>
            <w:fldChar w:fldCharType="separate"/>
          </w:r>
          <w:r>
            <w:t>183</w:t>
          </w:r>
          <w:r>
            <w:fldChar w:fldCharType="end"/>
          </w:r>
          <w:r>
            <w:fldChar w:fldCharType="end"/>
          </w:r>
        </w:p>
        <w:p>
          <w:pPr>
            <w:pStyle w:val="64"/>
            <w:tabs>
              <w:tab w:val="right" w:leader="dot" w:pos="8306"/>
            </w:tabs>
          </w:pPr>
          <w:r>
            <w:fldChar w:fldCharType="begin"/>
          </w:r>
          <w:r>
            <w:instrText xml:space="preserve"> HYPERLINK \l _Toc27277 </w:instrText>
          </w:r>
          <w:r>
            <w:fldChar w:fldCharType="separate"/>
          </w:r>
          <w:r>
            <w:rPr>
              <w:rFonts w:hint="default" w:ascii="Times New Roman" w:hAnsi="Times New Roman" w:cs="Times New Roman"/>
              <w:bCs/>
              <w:kern w:val="0"/>
              <w:szCs w:val="21"/>
            </w:rPr>
            <w:t>4.2-</w:t>
          </w:r>
          <w:r>
            <w:rPr>
              <w:rFonts w:hint="default" w:ascii="Times New Roman" w:hAnsi="Times New Roman" w:cs="Times New Roman"/>
              <w:bCs/>
              <w:kern w:val="0"/>
              <w:szCs w:val="21"/>
              <w:lang w:val="en-US" w:eastAsia="zh-CN"/>
            </w:rPr>
            <w:t>2</w:t>
          </w:r>
          <w:r>
            <w:rPr>
              <w:rFonts w:hint="eastAsia" w:ascii="Times New Roman" w:hAnsi="Times New Roman" w:cs="Times New Roman"/>
              <w:bCs/>
              <w:kern w:val="0"/>
              <w:szCs w:val="21"/>
              <w:lang w:val="en-US" w:eastAsia="zh-CN"/>
            </w:rPr>
            <w:t>6</w:t>
          </w:r>
          <w:r>
            <w:rPr>
              <w:rFonts w:hint="default" w:ascii="Times New Roman" w:hAnsi="Times New Roman" w:cs="Times New Roman"/>
              <w:bCs/>
              <w:kern w:val="0"/>
              <w:szCs w:val="21"/>
            </w:rPr>
            <w:t xml:space="preserve">    土壤环境影响评价自查表</w:t>
          </w:r>
          <w:r>
            <w:tab/>
          </w:r>
          <w:r>
            <w:fldChar w:fldCharType="begin"/>
          </w:r>
          <w:r>
            <w:instrText xml:space="preserve"> PAGEREF _Toc27277 \h </w:instrText>
          </w:r>
          <w:r>
            <w:fldChar w:fldCharType="separate"/>
          </w:r>
          <w:r>
            <w:t>188</w:t>
          </w:r>
          <w:r>
            <w:fldChar w:fldCharType="end"/>
          </w:r>
          <w:r>
            <w:fldChar w:fldCharType="end"/>
          </w:r>
        </w:p>
        <w:p>
          <w:pPr>
            <w:pStyle w:val="64"/>
            <w:tabs>
              <w:tab w:val="right" w:leader="dot" w:pos="8306"/>
            </w:tabs>
          </w:pPr>
          <w:r>
            <w:fldChar w:fldCharType="begin"/>
          </w:r>
          <w:r>
            <w:instrText xml:space="preserve"> HYPERLINK \l _Toc25828 </w:instrText>
          </w:r>
          <w:r>
            <w:fldChar w:fldCharType="separate"/>
          </w:r>
          <w:r>
            <w:rPr>
              <w:rFonts w:hint="eastAsia" w:ascii="Times New Roman" w:hAnsi="Times New Roman" w:eastAsia="宋体" w:cs="Times New Roman"/>
              <w:bCs/>
              <w:kern w:val="0"/>
            </w:rPr>
            <w:t>4.2.</w:t>
          </w:r>
          <w:r>
            <w:rPr>
              <w:rFonts w:hint="eastAsia" w:ascii="Times New Roman" w:hAnsi="Times New Roman" w:eastAsia="宋体" w:cs="Times New Roman"/>
              <w:bCs/>
              <w:kern w:val="0"/>
              <w:lang w:val="en-US" w:eastAsia="zh-CN"/>
            </w:rPr>
            <w:t>7</w:t>
          </w:r>
          <w:r>
            <w:rPr>
              <w:rFonts w:hint="eastAsia" w:ascii="Times New Roman" w:hAnsi="Times New Roman" w:eastAsia="宋体" w:cs="Times New Roman"/>
              <w:bCs/>
              <w:kern w:val="0"/>
            </w:rPr>
            <w:t xml:space="preserve"> 生态环境影响分析与评价</w:t>
          </w:r>
          <w:r>
            <w:tab/>
          </w:r>
          <w:r>
            <w:fldChar w:fldCharType="begin"/>
          </w:r>
          <w:r>
            <w:instrText xml:space="preserve"> PAGEREF _Toc25828 \h </w:instrText>
          </w:r>
          <w:r>
            <w:fldChar w:fldCharType="separate"/>
          </w:r>
          <w:r>
            <w:t>189</w:t>
          </w:r>
          <w:r>
            <w:fldChar w:fldCharType="end"/>
          </w:r>
          <w:r>
            <w:fldChar w:fldCharType="end"/>
          </w:r>
        </w:p>
        <w:p>
          <w:pPr>
            <w:pStyle w:val="62"/>
            <w:tabs>
              <w:tab w:val="right" w:leader="dot" w:pos="8306"/>
            </w:tabs>
          </w:pPr>
          <w:r>
            <w:fldChar w:fldCharType="begin"/>
          </w:r>
          <w:r>
            <w:instrText xml:space="preserve"> HYPERLINK \l _Toc10195 </w:instrText>
          </w:r>
          <w:r>
            <w:fldChar w:fldCharType="separate"/>
          </w:r>
          <w:r>
            <w:rPr>
              <w:rFonts w:hint="default" w:ascii="Times New Roman" w:hAnsi="Times New Roman" w:cs="Times New Roman"/>
            </w:rPr>
            <w:t>第5章   环境风险分析</w:t>
          </w:r>
          <w:r>
            <w:tab/>
          </w:r>
          <w:r>
            <w:fldChar w:fldCharType="begin"/>
          </w:r>
          <w:r>
            <w:instrText xml:space="preserve"> PAGEREF _Toc10195 \h </w:instrText>
          </w:r>
          <w:r>
            <w:fldChar w:fldCharType="separate"/>
          </w:r>
          <w:r>
            <w:t>192</w:t>
          </w:r>
          <w:r>
            <w:fldChar w:fldCharType="end"/>
          </w:r>
          <w:r>
            <w:fldChar w:fldCharType="end"/>
          </w:r>
        </w:p>
        <w:p>
          <w:pPr>
            <w:pStyle w:val="63"/>
            <w:tabs>
              <w:tab w:val="right" w:leader="dot" w:pos="8306"/>
            </w:tabs>
          </w:pPr>
          <w:r>
            <w:fldChar w:fldCharType="begin"/>
          </w:r>
          <w:r>
            <w:instrText xml:space="preserve"> HYPERLINK \l _Toc835 </w:instrText>
          </w:r>
          <w:r>
            <w:fldChar w:fldCharType="separate"/>
          </w:r>
          <w:r>
            <w:rPr>
              <w:rFonts w:hint="default" w:ascii="Times New Roman" w:hAnsi="Times New Roman" w:eastAsia="宋体" w:cs="Times New Roman"/>
              <w:szCs w:val="30"/>
            </w:rPr>
            <w:t>5.1评价原则</w:t>
          </w:r>
          <w:r>
            <w:tab/>
          </w:r>
          <w:r>
            <w:fldChar w:fldCharType="begin"/>
          </w:r>
          <w:r>
            <w:instrText xml:space="preserve"> PAGEREF _Toc835 \h </w:instrText>
          </w:r>
          <w:r>
            <w:fldChar w:fldCharType="separate"/>
          </w:r>
          <w:r>
            <w:t>192</w:t>
          </w:r>
          <w:r>
            <w:fldChar w:fldCharType="end"/>
          </w:r>
          <w:r>
            <w:fldChar w:fldCharType="end"/>
          </w:r>
        </w:p>
        <w:p>
          <w:pPr>
            <w:pStyle w:val="63"/>
            <w:tabs>
              <w:tab w:val="right" w:leader="dot" w:pos="8306"/>
            </w:tabs>
          </w:pPr>
          <w:r>
            <w:fldChar w:fldCharType="begin"/>
          </w:r>
          <w:r>
            <w:instrText xml:space="preserve"> HYPERLINK \l _Toc32041 </w:instrText>
          </w:r>
          <w:r>
            <w:fldChar w:fldCharType="separate"/>
          </w:r>
          <w:r>
            <w:rPr>
              <w:rFonts w:hint="default" w:ascii="Times New Roman" w:hAnsi="Times New Roman" w:eastAsia="宋体" w:cs="Times New Roman"/>
              <w:szCs w:val="30"/>
            </w:rPr>
            <w:t>5.2评价工作程序</w:t>
          </w:r>
          <w:r>
            <w:tab/>
          </w:r>
          <w:r>
            <w:fldChar w:fldCharType="begin"/>
          </w:r>
          <w:r>
            <w:instrText xml:space="preserve"> PAGEREF _Toc32041 \h </w:instrText>
          </w:r>
          <w:r>
            <w:fldChar w:fldCharType="separate"/>
          </w:r>
          <w:r>
            <w:t>192</w:t>
          </w:r>
          <w:r>
            <w:fldChar w:fldCharType="end"/>
          </w:r>
          <w:r>
            <w:fldChar w:fldCharType="end"/>
          </w:r>
        </w:p>
        <w:p>
          <w:pPr>
            <w:pStyle w:val="63"/>
            <w:tabs>
              <w:tab w:val="right" w:leader="dot" w:pos="8306"/>
            </w:tabs>
          </w:pPr>
          <w:r>
            <w:fldChar w:fldCharType="begin"/>
          </w:r>
          <w:r>
            <w:instrText xml:space="preserve"> HYPERLINK \l _Toc29828 </w:instrText>
          </w:r>
          <w:r>
            <w:fldChar w:fldCharType="separate"/>
          </w:r>
          <w:r>
            <w:rPr>
              <w:rFonts w:hint="default" w:ascii="Times New Roman" w:hAnsi="Times New Roman" w:eastAsia="宋体" w:cs="Times New Roman"/>
              <w:szCs w:val="30"/>
            </w:rPr>
            <w:t>5.3风险调查</w:t>
          </w:r>
          <w:r>
            <w:tab/>
          </w:r>
          <w:r>
            <w:fldChar w:fldCharType="begin"/>
          </w:r>
          <w:r>
            <w:instrText xml:space="preserve"> PAGEREF _Toc29828 \h </w:instrText>
          </w:r>
          <w:r>
            <w:fldChar w:fldCharType="separate"/>
          </w:r>
          <w:r>
            <w:t>193</w:t>
          </w:r>
          <w:r>
            <w:fldChar w:fldCharType="end"/>
          </w:r>
          <w:r>
            <w:fldChar w:fldCharType="end"/>
          </w:r>
        </w:p>
        <w:p>
          <w:pPr>
            <w:pStyle w:val="64"/>
            <w:tabs>
              <w:tab w:val="right" w:leader="dot" w:pos="8306"/>
            </w:tabs>
          </w:pPr>
          <w:r>
            <w:fldChar w:fldCharType="begin"/>
          </w:r>
          <w:r>
            <w:instrText xml:space="preserve"> HYPERLINK \l _Toc574 </w:instrText>
          </w:r>
          <w:r>
            <w:fldChar w:fldCharType="separate"/>
          </w:r>
          <w:r>
            <w:rPr>
              <w:rFonts w:hint="default" w:ascii="Times New Roman" w:hAnsi="Times New Roman" w:cs="Times New Roman"/>
              <w:kern w:val="0"/>
            </w:rPr>
            <w:t>5.3.1建设项目风险源调查</w:t>
          </w:r>
          <w:r>
            <w:tab/>
          </w:r>
          <w:r>
            <w:fldChar w:fldCharType="begin"/>
          </w:r>
          <w:r>
            <w:instrText xml:space="preserve"> PAGEREF _Toc574 \h </w:instrText>
          </w:r>
          <w:r>
            <w:fldChar w:fldCharType="separate"/>
          </w:r>
          <w:r>
            <w:t>193</w:t>
          </w:r>
          <w:r>
            <w:fldChar w:fldCharType="end"/>
          </w:r>
          <w:r>
            <w:fldChar w:fldCharType="end"/>
          </w:r>
        </w:p>
        <w:p>
          <w:pPr>
            <w:pStyle w:val="64"/>
            <w:tabs>
              <w:tab w:val="right" w:leader="dot" w:pos="8306"/>
            </w:tabs>
          </w:pPr>
          <w:r>
            <w:fldChar w:fldCharType="begin"/>
          </w:r>
          <w:r>
            <w:instrText xml:space="preserve"> HYPERLINK \l _Toc21725 </w:instrText>
          </w:r>
          <w:r>
            <w:fldChar w:fldCharType="separate"/>
          </w:r>
          <w:r>
            <w:rPr>
              <w:rFonts w:hint="default" w:ascii="Times New Roman" w:hAnsi="Times New Roman" w:cs="Times New Roman"/>
              <w:kern w:val="0"/>
            </w:rPr>
            <w:t>5.3.2环境敏感目标调查</w:t>
          </w:r>
          <w:r>
            <w:tab/>
          </w:r>
          <w:r>
            <w:fldChar w:fldCharType="begin"/>
          </w:r>
          <w:r>
            <w:instrText xml:space="preserve"> PAGEREF _Toc21725 \h </w:instrText>
          </w:r>
          <w:r>
            <w:fldChar w:fldCharType="separate"/>
          </w:r>
          <w:r>
            <w:t>194</w:t>
          </w:r>
          <w:r>
            <w:fldChar w:fldCharType="end"/>
          </w:r>
          <w:r>
            <w:fldChar w:fldCharType="end"/>
          </w:r>
        </w:p>
        <w:p>
          <w:pPr>
            <w:pStyle w:val="63"/>
            <w:tabs>
              <w:tab w:val="right" w:leader="dot" w:pos="8306"/>
            </w:tabs>
          </w:pPr>
          <w:r>
            <w:fldChar w:fldCharType="begin"/>
          </w:r>
          <w:r>
            <w:instrText xml:space="preserve"> HYPERLINK \l _Toc9227 </w:instrText>
          </w:r>
          <w:r>
            <w:fldChar w:fldCharType="separate"/>
          </w:r>
          <w:r>
            <w:rPr>
              <w:rFonts w:hint="default" w:ascii="Times New Roman" w:hAnsi="Times New Roman" w:eastAsia="宋体" w:cs="Times New Roman"/>
              <w:szCs w:val="30"/>
            </w:rPr>
            <w:t>5.4环境风险潜势判断</w:t>
          </w:r>
          <w:r>
            <w:tab/>
          </w:r>
          <w:r>
            <w:fldChar w:fldCharType="begin"/>
          </w:r>
          <w:r>
            <w:instrText xml:space="preserve"> PAGEREF _Toc9227 \h </w:instrText>
          </w:r>
          <w:r>
            <w:fldChar w:fldCharType="separate"/>
          </w:r>
          <w:r>
            <w:t>194</w:t>
          </w:r>
          <w:r>
            <w:fldChar w:fldCharType="end"/>
          </w:r>
          <w:r>
            <w:fldChar w:fldCharType="end"/>
          </w:r>
        </w:p>
        <w:p>
          <w:pPr>
            <w:pStyle w:val="64"/>
            <w:tabs>
              <w:tab w:val="right" w:leader="dot" w:pos="8306"/>
            </w:tabs>
          </w:pPr>
          <w:r>
            <w:fldChar w:fldCharType="begin"/>
          </w:r>
          <w:r>
            <w:instrText xml:space="preserve"> HYPERLINK \l _Toc29197 </w:instrText>
          </w:r>
          <w:r>
            <w:fldChar w:fldCharType="separate"/>
          </w:r>
          <w:r>
            <w:rPr>
              <w:rFonts w:hint="default" w:ascii="Times New Roman" w:hAnsi="Times New Roman" w:cs="Times New Roman"/>
              <w:kern w:val="0"/>
            </w:rPr>
            <w:t>5.4.1环境风险潜势划分</w:t>
          </w:r>
          <w:r>
            <w:tab/>
          </w:r>
          <w:r>
            <w:fldChar w:fldCharType="begin"/>
          </w:r>
          <w:r>
            <w:instrText xml:space="preserve"> PAGEREF _Toc29197 \h </w:instrText>
          </w:r>
          <w:r>
            <w:fldChar w:fldCharType="separate"/>
          </w:r>
          <w:r>
            <w:t>194</w:t>
          </w:r>
          <w:r>
            <w:fldChar w:fldCharType="end"/>
          </w:r>
          <w:r>
            <w:fldChar w:fldCharType="end"/>
          </w:r>
        </w:p>
        <w:p>
          <w:pPr>
            <w:pStyle w:val="64"/>
            <w:tabs>
              <w:tab w:val="right" w:leader="dot" w:pos="8306"/>
            </w:tabs>
          </w:pPr>
          <w:r>
            <w:fldChar w:fldCharType="begin"/>
          </w:r>
          <w:r>
            <w:instrText xml:space="preserve"> HYPERLINK \l _Toc25431 </w:instrText>
          </w:r>
          <w:r>
            <w:fldChar w:fldCharType="separate"/>
          </w:r>
          <w:r>
            <w:rPr>
              <w:rFonts w:hint="default" w:ascii="Times New Roman" w:hAnsi="Times New Roman" w:cs="Times New Roman"/>
              <w:kern w:val="0"/>
            </w:rPr>
            <w:t>5.4.2</w:t>
          </w:r>
          <w:r>
            <w:rPr>
              <w:rFonts w:hint="default" w:ascii="Times New Roman" w:hAnsi="Times New Roman" w:cs="Times New Roman"/>
              <w:kern w:val="0"/>
              <w:lang w:val="en-US" w:eastAsia="zh-CN"/>
            </w:rPr>
            <w:t xml:space="preserve"> </w:t>
          </w:r>
          <w:r>
            <w:rPr>
              <w:rFonts w:hint="default" w:ascii="Times New Roman" w:hAnsi="Times New Roman" w:cs="Times New Roman"/>
              <w:kern w:val="0"/>
            </w:rPr>
            <w:t>P的分级确定</w:t>
          </w:r>
          <w:r>
            <w:tab/>
          </w:r>
          <w:r>
            <w:fldChar w:fldCharType="begin"/>
          </w:r>
          <w:r>
            <w:instrText xml:space="preserve"> PAGEREF _Toc25431 \h </w:instrText>
          </w:r>
          <w:r>
            <w:fldChar w:fldCharType="separate"/>
          </w:r>
          <w:r>
            <w:t>195</w:t>
          </w:r>
          <w:r>
            <w:fldChar w:fldCharType="end"/>
          </w:r>
          <w:r>
            <w:fldChar w:fldCharType="end"/>
          </w:r>
        </w:p>
        <w:p>
          <w:pPr>
            <w:pStyle w:val="64"/>
            <w:tabs>
              <w:tab w:val="right" w:leader="dot" w:pos="8306"/>
            </w:tabs>
          </w:pPr>
          <w:r>
            <w:fldChar w:fldCharType="begin"/>
          </w:r>
          <w:r>
            <w:instrText xml:space="preserve"> HYPERLINK \l _Toc5051 </w:instrText>
          </w:r>
          <w:r>
            <w:fldChar w:fldCharType="separate"/>
          </w:r>
          <w:r>
            <w:rPr>
              <w:rFonts w:hint="default" w:ascii="Times New Roman" w:hAnsi="Times New Roman" w:cs="Times New Roman"/>
              <w:kern w:val="0"/>
            </w:rPr>
            <w:t>5.4.3评价工作等级划分</w:t>
          </w:r>
          <w:r>
            <w:tab/>
          </w:r>
          <w:r>
            <w:fldChar w:fldCharType="begin"/>
          </w:r>
          <w:r>
            <w:instrText xml:space="preserve"> PAGEREF _Toc5051 \h </w:instrText>
          </w:r>
          <w:r>
            <w:fldChar w:fldCharType="separate"/>
          </w:r>
          <w:r>
            <w:t>196</w:t>
          </w:r>
          <w:r>
            <w:fldChar w:fldCharType="end"/>
          </w:r>
          <w:r>
            <w:fldChar w:fldCharType="end"/>
          </w:r>
        </w:p>
        <w:p>
          <w:pPr>
            <w:pStyle w:val="63"/>
            <w:tabs>
              <w:tab w:val="right" w:leader="dot" w:pos="8306"/>
            </w:tabs>
          </w:pPr>
          <w:r>
            <w:fldChar w:fldCharType="begin"/>
          </w:r>
          <w:r>
            <w:instrText xml:space="preserve"> HYPERLINK \l _Toc29500 </w:instrText>
          </w:r>
          <w:r>
            <w:fldChar w:fldCharType="separate"/>
          </w:r>
          <w:r>
            <w:rPr>
              <w:rFonts w:hint="default" w:ascii="Times New Roman" w:hAnsi="Times New Roman" w:eastAsia="宋体" w:cs="Times New Roman"/>
              <w:szCs w:val="30"/>
            </w:rPr>
            <w:t>5.5环境风险识别</w:t>
          </w:r>
          <w:r>
            <w:tab/>
          </w:r>
          <w:r>
            <w:fldChar w:fldCharType="begin"/>
          </w:r>
          <w:r>
            <w:instrText xml:space="preserve"> PAGEREF _Toc29500 \h </w:instrText>
          </w:r>
          <w:r>
            <w:fldChar w:fldCharType="separate"/>
          </w:r>
          <w:r>
            <w:t>196</w:t>
          </w:r>
          <w:r>
            <w:fldChar w:fldCharType="end"/>
          </w:r>
          <w:r>
            <w:fldChar w:fldCharType="end"/>
          </w:r>
        </w:p>
        <w:p>
          <w:pPr>
            <w:pStyle w:val="64"/>
            <w:tabs>
              <w:tab w:val="right" w:leader="dot" w:pos="8306"/>
            </w:tabs>
          </w:pPr>
          <w:r>
            <w:fldChar w:fldCharType="begin"/>
          </w:r>
          <w:r>
            <w:instrText xml:space="preserve"> HYPERLINK \l _Toc19036 </w:instrText>
          </w:r>
          <w:r>
            <w:fldChar w:fldCharType="separate"/>
          </w:r>
          <w:r>
            <w:rPr>
              <w:rFonts w:hint="default" w:ascii="Times New Roman" w:hAnsi="Times New Roman" w:cs="Times New Roman"/>
              <w:szCs w:val="21"/>
            </w:rPr>
            <w:t>（1）物质风险识别</w:t>
          </w:r>
          <w:r>
            <w:tab/>
          </w:r>
          <w:r>
            <w:fldChar w:fldCharType="begin"/>
          </w:r>
          <w:r>
            <w:instrText xml:space="preserve"> PAGEREF _Toc19036 \h </w:instrText>
          </w:r>
          <w:r>
            <w:fldChar w:fldCharType="separate"/>
          </w:r>
          <w:r>
            <w:t>196</w:t>
          </w:r>
          <w:r>
            <w:fldChar w:fldCharType="end"/>
          </w:r>
          <w:r>
            <w:fldChar w:fldCharType="end"/>
          </w:r>
        </w:p>
        <w:p>
          <w:pPr>
            <w:pStyle w:val="64"/>
            <w:tabs>
              <w:tab w:val="right" w:leader="dot" w:pos="8306"/>
            </w:tabs>
          </w:pPr>
          <w:r>
            <w:fldChar w:fldCharType="begin"/>
          </w:r>
          <w:r>
            <w:instrText xml:space="preserve"> HYPERLINK \l _Toc19708 </w:instrText>
          </w:r>
          <w:r>
            <w:fldChar w:fldCharType="separate"/>
          </w:r>
          <w:r>
            <w:rPr>
              <w:rFonts w:hint="default" w:ascii="Times New Roman" w:hAnsi="Times New Roman" w:cs="Times New Roman"/>
              <w:szCs w:val="21"/>
            </w:rPr>
            <w:t>（2）生产设施风险识别</w:t>
          </w:r>
          <w:r>
            <w:tab/>
          </w:r>
          <w:r>
            <w:fldChar w:fldCharType="begin"/>
          </w:r>
          <w:r>
            <w:instrText xml:space="preserve"> PAGEREF _Toc19708 \h </w:instrText>
          </w:r>
          <w:r>
            <w:fldChar w:fldCharType="separate"/>
          </w:r>
          <w:r>
            <w:t>197</w:t>
          </w:r>
          <w:r>
            <w:fldChar w:fldCharType="end"/>
          </w:r>
          <w:r>
            <w:fldChar w:fldCharType="end"/>
          </w:r>
        </w:p>
        <w:p>
          <w:pPr>
            <w:pStyle w:val="64"/>
            <w:tabs>
              <w:tab w:val="right" w:leader="dot" w:pos="8306"/>
            </w:tabs>
          </w:pPr>
          <w:r>
            <w:fldChar w:fldCharType="begin"/>
          </w:r>
          <w:r>
            <w:instrText xml:space="preserve"> HYPERLINK \l _Toc12879 </w:instrText>
          </w:r>
          <w:r>
            <w:fldChar w:fldCharType="separate"/>
          </w:r>
          <w:r>
            <w:rPr>
              <w:rFonts w:hint="default" w:ascii="Times New Roman" w:hAnsi="Times New Roman" w:cs="Times New Roman"/>
              <w:szCs w:val="21"/>
            </w:rPr>
            <w:t>（3）向环境转移的途径识别</w:t>
          </w:r>
          <w:r>
            <w:tab/>
          </w:r>
          <w:r>
            <w:fldChar w:fldCharType="begin"/>
          </w:r>
          <w:r>
            <w:instrText xml:space="preserve"> PAGEREF _Toc12879 \h </w:instrText>
          </w:r>
          <w:r>
            <w:fldChar w:fldCharType="separate"/>
          </w:r>
          <w:r>
            <w:t>197</w:t>
          </w:r>
          <w:r>
            <w:fldChar w:fldCharType="end"/>
          </w:r>
          <w:r>
            <w:fldChar w:fldCharType="end"/>
          </w:r>
        </w:p>
        <w:p>
          <w:pPr>
            <w:pStyle w:val="63"/>
            <w:tabs>
              <w:tab w:val="right" w:leader="dot" w:pos="8306"/>
            </w:tabs>
          </w:pPr>
          <w:r>
            <w:fldChar w:fldCharType="begin"/>
          </w:r>
          <w:r>
            <w:instrText xml:space="preserve"> HYPERLINK \l _Toc27442 </w:instrText>
          </w:r>
          <w:r>
            <w:fldChar w:fldCharType="separate"/>
          </w:r>
          <w:r>
            <w:rPr>
              <w:rFonts w:hint="eastAsia" w:ascii="Times New Roman" w:hAnsi="Times New Roman" w:eastAsia="宋体"/>
              <w:szCs w:val="30"/>
            </w:rPr>
            <w:t>5</w:t>
          </w:r>
          <w:r>
            <w:rPr>
              <w:rFonts w:ascii="Times New Roman" w:hAnsi="Times New Roman" w:eastAsia="宋体"/>
              <w:szCs w:val="30"/>
            </w:rPr>
            <w:t>.</w:t>
          </w:r>
          <w:r>
            <w:rPr>
              <w:rFonts w:hint="eastAsia" w:ascii="Times New Roman" w:hAnsi="Times New Roman" w:eastAsia="宋体"/>
              <w:szCs w:val="30"/>
            </w:rPr>
            <w:t>6环境风险分析</w:t>
          </w:r>
          <w:r>
            <w:tab/>
          </w:r>
          <w:r>
            <w:fldChar w:fldCharType="begin"/>
          </w:r>
          <w:r>
            <w:instrText xml:space="preserve"> PAGEREF _Toc27442 \h </w:instrText>
          </w:r>
          <w:r>
            <w:fldChar w:fldCharType="separate"/>
          </w:r>
          <w:r>
            <w:t>197</w:t>
          </w:r>
          <w:r>
            <w:fldChar w:fldCharType="end"/>
          </w:r>
          <w:r>
            <w:fldChar w:fldCharType="end"/>
          </w:r>
        </w:p>
        <w:p>
          <w:pPr>
            <w:pStyle w:val="63"/>
            <w:tabs>
              <w:tab w:val="right" w:leader="dot" w:pos="8306"/>
            </w:tabs>
          </w:pPr>
          <w:r>
            <w:fldChar w:fldCharType="begin"/>
          </w:r>
          <w:r>
            <w:instrText xml:space="preserve"> HYPERLINK \l _Toc13476 </w:instrText>
          </w:r>
          <w:r>
            <w:fldChar w:fldCharType="separate"/>
          </w:r>
          <w:r>
            <w:rPr>
              <w:rFonts w:hint="default" w:ascii="Times New Roman" w:hAnsi="Times New Roman" w:eastAsia="宋体" w:cs="Times New Roman"/>
              <w:szCs w:val="30"/>
            </w:rPr>
            <w:t>5.7环境风险防范措施</w:t>
          </w:r>
          <w:r>
            <w:tab/>
          </w:r>
          <w:r>
            <w:fldChar w:fldCharType="begin"/>
          </w:r>
          <w:r>
            <w:instrText xml:space="preserve"> PAGEREF _Toc13476 \h </w:instrText>
          </w:r>
          <w:r>
            <w:fldChar w:fldCharType="separate"/>
          </w:r>
          <w:r>
            <w:t>197</w:t>
          </w:r>
          <w:r>
            <w:fldChar w:fldCharType="end"/>
          </w:r>
          <w:r>
            <w:fldChar w:fldCharType="end"/>
          </w:r>
        </w:p>
        <w:p>
          <w:pPr>
            <w:pStyle w:val="64"/>
            <w:tabs>
              <w:tab w:val="right" w:leader="dot" w:pos="8306"/>
            </w:tabs>
          </w:pPr>
          <w:r>
            <w:fldChar w:fldCharType="begin"/>
          </w:r>
          <w:r>
            <w:instrText xml:space="preserve"> HYPERLINK \l _Toc12266 </w:instrText>
          </w:r>
          <w:r>
            <w:fldChar w:fldCharType="separate"/>
          </w:r>
          <w:r>
            <w:rPr>
              <w:rFonts w:hint="default" w:ascii="Times New Roman" w:hAnsi="Times New Roman" w:cs="Times New Roman"/>
              <w:kern w:val="0"/>
            </w:rPr>
            <w:t>5.7.1次氯酸钠环境风险防范措施</w:t>
          </w:r>
          <w:r>
            <w:tab/>
          </w:r>
          <w:r>
            <w:fldChar w:fldCharType="begin"/>
          </w:r>
          <w:r>
            <w:instrText xml:space="preserve"> PAGEREF _Toc12266 \h </w:instrText>
          </w:r>
          <w:r>
            <w:fldChar w:fldCharType="separate"/>
          </w:r>
          <w:r>
            <w:t>197</w:t>
          </w:r>
          <w:r>
            <w:fldChar w:fldCharType="end"/>
          </w:r>
          <w:r>
            <w:fldChar w:fldCharType="end"/>
          </w:r>
        </w:p>
        <w:p>
          <w:pPr>
            <w:pStyle w:val="64"/>
            <w:tabs>
              <w:tab w:val="right" w:leader="dot" w:pos="8306"/>
            </w:tabs>
          </w:pPr>
          <w:r>
            <w:fldChar w:fldCharType="begin"/>
          </w:r>
          <w:r>
            <w:instrText xml:space="preserve"> HYPERLINK \l _Toc23414 </w:instrText>
          </w:r>
          <w:r>
            <w:fldChar w:fldCharType="separate"/>
          </w:r>
          <w:r>
            <w:rPr>
              <w:rFonts w:hint="default" w:ascii="Times New Roman" w:hAnsi="Times New Roman" w:cs="Times New Roman"/>
              <w:kern w:val="0"/>
            </w:rPr>
            <w:t>5.7.2医疗废物运输暂存风险防范措施</w:t>
          </w:r>
          <w:r>
            <w:tab/>
          </w:r>
          <w:r>
            <w:fldChar w:fldCharType="begin"/>
          </w:r>
          <w:r>
            <w:instrText xml:space="preserve"> PAGEREF _Toc23414 \h </w:instrText>
          </w:r>
          <w:r>
            <w:fldChar w:fldCharType="separate"/>
          </w:r>
          <w:r>
            <w:t>198</w:t>
          </w:r>
          <w:r>
            <w:fldChar w:fldCharType="end"/>
          </w:r>
          <w:r>
            <w:fldChar w:fldCharType="end"/>
          </w:r>
        </w:p>
        <w:p>
          <w:pPr>
            <w:pStyle w:val="64"/>
            <w:tabs>
              <w:tab w:val="right" w:leader="dot" w:pos="8306"/>
            </w:tabs>
          </w:pPr>
          <w:r>
            <w:fldChar w:fldCharType="begin"/>
          </w:r>
          <w:r>
            <w:instrText xml:space="preserve"> HYPERLINK \l _Toc21545 </w:instrText>
          </w:r>
          <w:r>
            <w:fldChar w:fldCharType="separate"/>
          </w:r>
          <w:r>
            <w:rPr>
              <w:rFonts w:hint="default" w:ascii="Times New Roman" w:hAnsi="Times New Roman" w:cs="Times New Roman"/>
              <w:kern w:val="0"/>
              <w:szCs w:val="24"/>
            </w:rPr>
            <w:t>5.7.3医疗废物处置过程中风险防范及应急措施</w:t>
          </w:r>
          <w:r>
            <w:tab/>
          </w:r>
          <w:r>
            <w:fldChar w:fldCharType="begin"/>
          </w:r>
          <w:r>
            <w:instrText xml:space="preserve"> PAGEREF _Toc21545 \h </w:instrText>
          </w:r>
          <w:r>
            <w:fldChar w:fldCharType="separate"/>
          </w:r>
          <w:r>
            <w:t>199</w:t>
          </w:r>
          <w:r>
            <w:fldChar w:fldCharType="end"/>
          </w:r>
          <w:r>
            <w:fldChar w:fldCharType="end"/>
          </w:r>
        </w:p>
        <w:p>
          <w:pPr>
            <w:pStyle w:val="64"/>
            <w:tabs>
              <w:tab w:val="right" w:leader="dot" w:pos="8306"/>
            </w:tabs>
          </w:pPr>
          <w:r>
            <w:fldChar w:fldCharType="begin"/>
          </w:r>
          <w:r>
            <w:instrText xml:space="preserve"> HYPERLINK \l _Toc15807 </w:instrText>
          </w:r>
          <w:r>
            <w:fldChar w:fldCharType="separate"/>
          </w:r>
          <w:r>
            <w:rPr>
              <w:rFonts w:hint="default" w:ascii="Times New Roman" w:hAnsi="Times New Roman" w:cs="Times New Roman"/>
              <w:kern w:val="0"/>
            </w:rPr>
            <w:t>5.7.4环保设施事故风险防治措施</w:t>
          </w:r>
          <w:r>
            <w:tab/>
          </w:r>
          <w:r>
            <w:fldChar w:fldCharType="begin"/>
          </w:r>
          <w:r>
            <w:instrText xml:space="preserve"> PAGEREF _Toc15807 \h </w:instrText>
          </w:r>
          <w:r>
            <w:fldChar w:fldCharType="separate"/>
          </w:r>
          <w:r>
            <w:t>200</w:t>
          </w:r>
          <w:r>
            <w:fldChar w:fldCharType="end"/>
          </w:r>
          <w:r>
            <w:fldChar w:fldCharType="end"/>
          </w:r>
        </w:p>
        <w:p>
          <w:pPr>
            <w:pStyle w:val="64"/>
            <w:tabs>
              <w:tab w:val="right" w:leader="dot" w:pos="8306"/>
            </w:tabs>
          </w:pPr>
          <w:r>
            <w:fldChar w:fldCharType="begin"/>
          </w:r>
          <w:r>
            <w:instrText xml:space="preserve"> HYPERLINK \l _Toc29918 </w:instrText>
          </w:r>
          <w:r>
            <w:fldChar w:fldCharType="separate"/>
          </w:r>
          <w:r>
            <w:rPr>
              <w:rFonts w:hint="default" w:ascii="Times New Roman" w:hAnsi="Times New Roman" w:cs="Times New Roman"/>
              <w:kern w:val="0"/>
            </w:rPr>
            <w:t>5.7.5环境风险应急预案</w:t>
          </w:r>
          <w:r>
            <w:tab/>
          </w:r>
          <w:r>
            <w:fldChar w:fldCharType="begin"/>
          </w:r>
          <w:r>
            <w:instrText xml:space="preserve"> PAGEREF _Toc29918 \h </w:instrText>
          </w:r>
          <w:r>
            <w:fldChar w:fldCharType="separate"/>
          </w:r>
          <w:r>
            <w:t>200</w:t>
          </w:r>
          <w:r>
            <w:fldChar w:fldCharType="end"/>
          </w:r>
          <w:r>
            <w:fldChar w:fldCharType="end"/>
          </w:r>
        </w:p>
        <w:p>
          <w:pPr>
            <w:pStyle w:val="63"/>
            <w:tabs>
              <w:tab w:val="right" w:leader="dot" w:pos="8306"/>
            </w:tabs>
          </w:pPr>
          <w:r>
            <w:fldChar w:fldCharType="begin"/>
          </w:r>
          <w:r>
            <w:instrText xml:space="preserve"> HYPERLINK \l _Toc26376 </w:instrText>
          </w:r>
          <w:r>
            <w:fldChar w:fldCharType="separate"/>
          </w:r>
          <w:r>
            <w:rPr>
              <w:rFonts w:hint="eastAsia" w:ascii="Times New Roman" w:hAnsi="Times New Roman" w:eastAsia="宋体"/>
              <w:szCs w:val="30"/>
            </w:rPr>
            <w:t>5.8</w:t>
          </w:r>
          <w:r>
            <w:rPr>
              <w:rFonts w:ascii="Times New Roman" w:hAnsi="Times New Roman" w:eastAsia="宋体"/>
              <w:szCs w:val="30"/>
            </w:rPr>
            <w:t>环境风险评价结论</w:t>
          </w:r>
          <w:r>
            <w:tab/>
          </w:r>
          <w:r>
            <w:fldChar w:fldCharType="begin"/>
          </w:r>
          <w:r>
            <w:instrText xml:space="preserve"> PAGEREF _Toc26376 \h </w:instrText>
          </w:r>
          <w:r>
            <w:fldChar w:fldCharType="separate"/>
          </w:r>
          <w:r>
            <w:t>201</w:t>
          </w:r>
          <w:r>
            <w:fldChar w:fldCharType="end"/>
          </w:r>
          <w:r>
            <w:fldChar w:fldCharType="end"/>
          </w:r>
        </w:p>
        <w:p>
          <w:pPr>
            <w:pStyle w:val="62"/>
            <w:tabs>
              <w:tab w:val="right" w:leader="dot" w:pos="8306"/>
            </w:tabs>
          </w:pPr>
          <w:r>
            <w:fldChar w:fldCharType="begin"/>
          </w:r>
          <w:r>
            <w:instrText xml:space="preserve"> HYPERLINK \l _Toc12391 </w:instrText>
          </w:r>
          <w:r>
            <w:fldChar w:fldCharType="separate"/>
          </w:r>
          <w:r>
            <w:rPr>
              <w:rFonts w:hint="default" w:ascii="Times New Roman" w:hAnsi="Times New Roman" w:cs="Times New Roman"/>
            </w:rPr>
            <w:t>第6章   环境保护措施及其可行性论证</w:t>
          </w:r>
          <w:r>
            <w:tab/>
          </w:r>
          <w:r>
            <w:fldChar w:fldCharType="begin"/>
          </w:r>
          <w:r>
            <w:instrText xml:space="preserve"> PAGEREF _Toc12391 \h </w:instrText>
          </w:r>
          <w:r>
            <w:fldChar w:fldCharType="separate"/>
          </w:r>
          <w:r>
            <w:t>203</w:t>
          </w:r>
          <w:r>
            <w:fldChar w:fldCharType="end"/>
          </w:r>
          <w:r>
            <w:fldChar w:fldCharType="end"/>
          </w:r>
        </w:p>
        <w:p>
          <w:pPr>
            <w:pStyle w:val="63"/>
            <w:tabs>
              <w:tab w:val="right" w:leader="dot" w:pos="8306"/>
            </w:tabs>
          </w:pPr>
          <w:r>
            <w:fldChar w:fldCharType="begin"/>
          </w:r>
          <w:r>
            <w:instrText xml:space="preserve"> HYPERLINK \l _Toc360 </w:instrText>
          </w:r>
          <w:r>
            <w:fldChar w:fldCharType="separate"/>
          </w:r>
          <w:r>
            <w:rPr>
              <w:rFonts w:hint="default" w:ascii="Times New Roman" w:hAnsi="Times New Roman" w:eastAsia="宋体" w:cs="Times New Roman"/>
              <w:szCs w:val="30"/>
            </w:rPr>
            <w:t>6.1施工期环保措施</w:t>
          </w:r>
          <w:r>
            <w:tab/>
          </w:r>
          <w:r>
            <w:fldChar w:fldCharType="begin"/>
          </w:r>
          <w:r>
            <w:instrText xml:space="preserve"> PAGEREF _Toc360 \h </w:instrText>
          </w:r>
          <w:r>
            <w:fldChar w:fldCharType="separate"/>
          </w:r>
          <w:r>
            <w:t>203</w:t>
          </w:r>
          <w:r>
            <w:fldChar w:fldCharType="end"/>
          </w:r>
          <w:r>
            <w:fldChar w:fldCharType="end"/>
          </w:r>
        </w:p>
        <w:p>
          <w:pPr>
            <w:pStyle w:val="64"/>
            <w:tabs>
              <w:tab w:val="right" w:leader="dot" w:pos="8306"/>
            </w:tabs>
          </w:pPr>
          <w:r>
            <w:fldChar w:fldCharType="begin"/>
          </w:r>
          <w:r>
            <w:instrText xml:space="preserve"> HYPERLINK \l _Toc8443 </w:instrText>
          </w:r>
          <w:r>
            <w:fldChar w:fldCharType="separate"/>
          </w:r>
          <w:r>
            <w:rPr>
              <w:rFonts w:hint="default" w:ascii="Times New Roman" w:hAnsi="Times New Roman" w:cs="Times New Roman"/>
              <w:kern w:val="0"/>
            </w:rPr>
            <w:t>6.1.1施工期大气污染防治措施</w:t>
          </w:r>
          <w:r>
            <w:tab/>
          </w:r>
          <w:r>
            <w:fldChar w:fldCharType="begin"/>
          </w:r>
          <w:r>
            <w:instrText xml:space="preserve"> PAGEREF _Toc8443 \h </w:instrText>
          </w:r>
          <w:r>
            <w:fldChar w:fldCharType="separate"/>
          </w:r>
          <w:r>
            <w:t>203</w:t>
          </w:r>
          <w:r>
            <w:fldChar w:fldCharType="end"/>
          </w:r>
          <w:r>
            <w:fldChar w:fldCharType="end"/>
          </w:r>
        </w:p>
        <w:p>
          <w:pPr>
            <w:pStyle w:val="64"/>
            <w:tabs>
              <w:tab w:val="right" w:leader="dot" w:pos="8306"/>
            </w:tabs>
          </w:pPr>
          <w:r>
            <w:fldChar w:fldCharType="begin"/>
          </w:r>
          <w:r>
            <w:instrText xml:space="preserve"> HYPERLINK \l _Toc31917 </w:instrText>
          </w:r>
          <w:r>
            <w:fldChar w:fldCharType="separate"/>
          </w:r>
          <w:r>
            <w:rPr>
              <w:rFonts w:hint="default" w:ascii="Times New Roman" w:hAnsi="Times New Roman" w:cs="Times New Roman"/>
              <w:kern w:val="0"/>
            </w:rPr>
            <w:t>6.1.2施工期水污染防治措施</w:t>
          </w:r>
          <w:r>
            <w:tab/>
          </w:r>
          <w:r>
            <w:fldChar w:fldCharType="begin"/>
          </w:r>
          <w:r>
            <w:instrText xml:space="preserve"> PAGEREF _Toc31917 \h </w:instrText>
          </w:r>
          <w:r>
            <w:fldChar w:fldCharType="separate"/>
          </w:r>
          <w:r>
            <w:t>203</w:t>
          </w:r>
          <w:r>
            <w:fldChar w:fldCharType="end"/>
          </w:r>
          <w:r>
            <w:fldChar w:fldCharType="end"/>
          </w:r>
        </w:p>
        <w:p>
          <w:pPr>
            <w:pStyle w:val="64"/>
            <w:tabs>
              <w:tab w:val="right" w:leader="dot" w:pos="8306"/>
            </w:tabs>
          </w:pPr>
          <w:r>
            <w:fldChar w:fldCharType="begin"/>
          </w:r>
          <w:r>
            <w:instrText xml:space="preserve"> HYPERLINK \l _Toc9155 </w:instrText>
          </w:r>
          <w:r>
            <w:fldChar w:fldCharType="separate"/>
          </w:r>
          <w:r>
            <w:rPr>
              <w:rFonts w:hint="default" w:ascii="Times New Roman" w:hAnsi="Times New Roman" w:cs="Times New Roman"/>
              <w:kern w:val="0"/>
            </w:rPr>
            <w:t>6.1.3施工期噪声污染防治措施</w:t>
          </w:r>
          <w:r>
            <w:tab/>
          </w:r>
          <w:r>
            <w:fldChar w:fldCharType="begin"/>
          </w:r>
          <w:r>
            <w:instrText xml:space="preserve"> PAGEREF _Toc9155 \h </w:instrText>
          </w:r>
          <w:r>
            <w:fldChar w:fldCharType="separate"/>
          </w:r>
          <w:r>
            <w:t>204</w:t>
          </w:r>
          <w:r>
            <w:fldChar w:fldCharType="end"/>
          </w:r>
          <w:r>
            <w:fldChar w:fldCharType="end"/>
          </w:r>
        </w:p>
        <w:p>
          <w:pPr>
            <w:pStyle w:val="64"/>
            <w:tabs>
              <w:tab w:val="right" w:leader="dot" w:pos="8306"/>
            </w:tabs>
          </w:pPr>
          <w:r>
            <w:fldChar w:fldCharType="begin"/>
          </w:r>
          <w:r>
            <w:instrText xml:space="preserve"> HYPERLINK \l _Toc938 </w:instrText>
          </w:r>
          <w:r>
            <w:fldChar w:fldCharType="separate"/>
          </w:r>
          <w:r>
            <w:rPr>
              <w:rFonts w:hint="default" w:ascii="Times New Roman" w:hAnsi="Times New Roman" w:cs="Times New Roman"/>
              <w:kern w:val="0"/>
            </w:rPr>
            <w:t>6.1.4施工期固废污染防治措施</w:t>
          </w:r>
          <w:r>
            <w:tab/>
          </w:r>
          <w:r>
            <w:fldChar w:fldCharType="begin"/>
          </w:r>
          <w:r>
            <w:instrText xml:space="preserve"> PAGEREF _Toc938 \h </w:instrText>
          </w:r>
          <w:r>
            <w:fldChar w:fldCharType="separate"/>
          </w:r>
          <w:r>
            <w:t>204</w:t>
          </w:r>
          <w:r>
            <w:fldChar w:fldCharType="end"/>
          </w:r>
          <w:r>
            <w:fldChar w:fldCharType="end"/>
          </w:r>
        </w:p>
        <w:p>
          <w:pPr>
            <w:pStyle w:val="64"/>
            <w:tabs>
              <w:tab w:val="right" w:leader="dot" w:pos="8306"/>
            </w:tabs>
          </w:pPr>
          <w:r>
            <w:fldChar w:fldCharType="begin"/>
          </w:r>
          <w:r>
            <w:instrText xml:space="preserve"> HYPERLINK \l _Toc6508 </w:instrText>
          </w:r>
          <w:r>
            <w:fldChar w:fldCharType="separate"/>
          </w:r>
          <w:r>
            <w:rPr>
              <w:rFonts w:hint="default" w:ascii="Times New Roman" w:hAnsi="Times New Roman" w:cs="Times New Roman"/>
              <w:kern w:val="0"/>
            </w:rPr>
            <w:t>6.1.5施工期生态环境保护措施</w:t>
          </w:r>
          <w:r>
            <w:tab/>
          </w:r>
          <w:r>
            <w:fldChar w:fldCharType="begin"/>
          </w:r>
          <w:r>
            <w:instrText xml:space="preserve"> PAGEREF _Toc6508 \h </w:instrText>
          </w:r>
          <w:r>
            <w:fldChar w:fldCharType="separate"/>
          </w:r>
          <w:r>
            <w:t>205</w:t>
          </w:r>
          <w:r>
            <w:fldChar w:fldCharType="end"/>
          </w:r>
          <w:r>
            <w:fldChar w:fldCharType="end"/>
          </w:r>
        </w:p>
        <w:p>
          <w:pPr>
            <w:pStyle w:val="63"/>
            <w:tabs>
              <w:tab w:val="right" w:leader="dot" w:pos="8306"/>
            </w:tabs>
          </w:pPr>
          <w:r>
            <w:fldChar w:fldCharType="begin"/>
          </w:r>
          <w:r>
            <w:instrText xml:space="preserve"> HYPERLINK \l _Toc22771 </w:instrText>
          </w:r>
          <w:r>
            <w:fldChar w:fldCharType="separate"/>
          </w:r>
          <w:r>
            <w:rPr>
              <w:rFonts w:hint="default" w:ascii="Times New Roman" w:hAnsi="Times New Roman" w:eastAsia="宋体" w:cs="Times New Roman"/>
              <w:szCs w:val="30"/>
            </w:rPr>
            <w:t>6.2运营期污染防治措施</w:t>
          </w:r>
          <w:r>
            <w:tab/>
          </w:r>
          <w:r>
            <w:fldChar w:fldCharType="begin"/>
          </w:r>
          <w:r>
            <w:instrText xml:space="preserve"> PAGEREF _Toc22771 \h </w:instrText>
          </w:r>
          <w:r>
            <w:fldChar w:fldCharType="separate"/>
          </w:r>
          <w:r>
            <w:t>205</w:t>
          </w:r>
          <w:r>
            <w:fldChar w:fldCharType="end"/>
          </w:r>
          <w:r>
            <w:fldChar w:fldCharType="end"/>
          </w:r>
        </w:p>
        <w:p>
          <w:pPr>
            <w:pStyle w:val="64"/>
            <w:tabs>
              <w:tab w:val="right" w:leader="dot" w:pos="8306"/>
            </w:tabs>
          </w:pPr>
          <w:r>
            <w:fldChar w:fldCharType="begin"/>
          </w:r>
          <w:r>
            <w:instrText xml:space="preserve"> HYPERLINK \l _Toc29800 </w:instrText>
          </w:r>
          <w:r>
            <w:fldChar w:fldCharType="separate"/>
          </w:r>
          <w:r>
            <w:rPr>
              <w:rFonts w:hint="default" w:ascii="Times New Roman" w:hAnsi="Times New Roman" w:cs="Times New Roman"/>
              <w:kern w:val="0"/>
            </w:rPr>
            <w:t>6.2.1废气污染防治措施及其可行性分析</w:t>
          </w:r>
          <w:r>
            <w:tab/>
          </w:r>
          <w:r>
            <w:fldChar w:fldCharType="begin"/>
          </w:r>
          <w:r>
            <w:instrText xml:space="preserve"> PAGEREF _Toc29800 \h </w:instrText>
          </w:r>
          <w:r>
            <w:fldChar w:fldCharType="separate"/>
          </w:r>
          <w:r>
            <w:t>205</w:t>
          </w:r>
          <w:r>
            <w:fldChar w:fldCharType="end"/>
          </w:r>
          <w:r>
            <w:fldChar w:fldCharType="end"/>
          </w:r>
        </w:p>
        <w:p>
          <w:pPr>
            <w:pStyle w:val="64"/>
            <w:tabs>
              <w:tab w:val="right" w:leader="dot" w:pos="8306"/>
            </w:tabs>
          </w:pPr>
          <w:r>
            <w:fldChar w:fldCharType="begin"/>
          </w:r>
          <w:r>
            <w:instrText xml:space="preserve"> HYPERLINK \l _Toc16024 </w:instrText>
          </w:r>
          <w:r>
            <w:fldChar w:fldCharType="separate"/>
          </w:r>
          <w:r>
            <w:rPr>
              <w:rFonts w:hint="default" w:ascii="Times New Roman" w:hAnsi="Times New Roman" w:cs="Times New Roman"/>
              <w:kern w:val="0"/>
            </w:rPr>
            <w:t>6.2.2废水污染防治措施及其可行性分析</w:t>
          </w:r>
          <w:r>
            <w:tab/>
          </w:r>
          <w:r>
            <w:fldChar w:fldCharType="begin"/>
          </w:r>
          <w:r>
            <w:instrText xml:space="preserve"> PAGEREF _Toc16024 \h </w:instrText>
          </w:r>
          <w:r>
            <w:fldChar w:fldCharType="separate"/>
          </w:r>
          <w:r>
            <w:t>209</w:t>
          </w:r>
          <w:r>
            <w:fldChar w:fldCharType="end"/>
          </w:r>
          <w:r>
            <w:fldChar w:fldCharType="end"/>
          </w:r>
        </w:p>
        <w:p>
          <w:pPr>
            <w:pStyle w:val="64"/>
            <w:tabs>
              <w:tab w:val="right" w:leader="dot" w:pos="8306"/>
            </w:tabs>
          </w:pPr>
          <w:r>
            <w:fldChar w:fldCharType="begin"/>
          </w:r>
          <w:r>
            <w:instrText xml:space="preserve"> HYPERLINK \l _Toc19018 </w:instrText>
          </w:r>
          <w:r>
            <w:fldChar w:fldCharType="separate"/>
          </w:r>
          <w:r>
            <w:rPr>
              <w:rFonts w:hint="default" w:ascii="Times New Roman" w:hAnsi="Times New Roman" w:cs="Times New Roman"/>
              <w:kern w:val="0"/>
            </w:rPr>
            <w:t>6.2.3噪声污染防治措施及其可行性分析</w:t>
          </w:r>
          <w:r>
            <w:tab/>
          </w:r>
          <w:r>
            <w:fldChar w:fldCharType="begin"/>
          </w:r>
          <w:r>
            <w:instrText xml:space="preserve"> PAGEREF _Toc19018 \h </w:instrText>
          </w:r>
          <w:r>
            <w:fldChar w:fldCharType="separate"/>
          </w:r>
          <w:r>
            <w:t>224</w:t>
          </w:r>
          <w:r>
            <w:fldChar w:fldCharType="end"/>
          </w:r>
          <w:r>
            <w:fldChar w:fldCharType="end"/>
          </w:r>
        </w:p>
        <w:p>
          <w:pPr>
            <w:pStyle w:val="64"/>
            <w:tabs>
              <w:tab w:val="right" w:leader="dot" w:pos="8306"/>
            </w:tabs>
          </w:pPr>
          <w:r>
            <w:fldChar w:fldCharType="begin"/>
          </w:r>
          <w:r>
            <w:instrText xml:space="preserve"> HYPERLINK \l _Toc26782 </w:instrText>
          </w:r>
          <w:r>
            <w:fldChar w:fldCharType="separate"/>
          </w:r>
          <w:r>
            <w:rPr>
              <w:rFonts w:hint="default" w:ascii="Times New Roman" w:hAnsi="Times New Roman" w:cs="Times New Roman"/>
              <w:kern w:val="0"/>
            </w:rPr>
            <w:t>6.2.4固体废物处置措施及其可行性分析</w:t>
          </w:r>
          <w:r>
            <w:tab/>
          </w:r>
          <w:r>
            <w:fldChar w:fldCharType="begin"/>
          </w:r>
          <w:r>
            <w:instrText xml:space="preserve"> PAGEREF _Toc26782 \h </w:instrText>
          </w:r>
          <w:r>
            <w:fldChar w:fldCharType="separate"/>
          </w:r>
          <w:r>
            <w:t>225</w:t>
          </w:r>
          <w:r>
            <w:fldChar w:fldCharType="end"/>
          </w:r>
          <w:r>
            <w:fldChar w:fldCharType="end"/>
          </w:r>
        </w:p>
        <w:p>
          <w:pPr>
            <w:pStyle w:val="64"/>
            <w:tabs>
              <w:tab w:val="right" w:leader="dot" w:pos="8306"/>
            </w:tabs>
          </w:pPr>
          <w:r>
            <w:fldChar w:fldCharType="begin"/>
          </w:r>
          <w:r>
            <w:instrText xml:space="preserve"> HYPERLINK \l _Toc2263 </w:instrText>
          </w:r>
          <w:r>
            <w:fldChar w:fldCharType="separate"/>
          </w:r>
          <w:r>
            <w:rPr>
              <w:rFonts w:hint="default" w:ascii="Times New Roman" w:hAnsi="Times New Roman" w:cs="Times New Roman"/>
              <w:kern w:val="0"/>
            </w:rPr>
            <w:t>6.2.5生态环境保护措施及其可行性分析</w:t>
          </w:r>
          <w:r>
            <w:tab/>
          </w:r>
          <w:r>
            <w:fldChar w:fldCharType="begin"/>
          </w:r>
          <w:r>
            <w:instrText xml:space="preserve"> PAGEREF _Toc2263 \h </w:instrText>
          </w:r>
          <w:r>
            <w:fldChar w:fldCharType="separate"/>
          </w:r>
          <w:r>
            <w:t>230</w:t>
          </w:r>
          <w:r>
            <w:fldChar w:fldCharType="end"/>
          </w:r>
          <w:r>
            <w:fldChar w:fldCharType="end"/>
          </w:r>
        </w:p>
        <w:p>
          <w:pPr>
            <w:pStyle w:val="64"/>
            <w:tabs>
              <w:tab w:val="right" w:leader="dot" w:pos="8306"/>
            </w:tabs>
          </w:pPr>
          <w:r>
            <w:fldChar w:fldCharType="begin"/>
          </w:r>
          <w:r>
            <w:instrText xml:space="preserve"> HYPERLINK \l _Toc14399 </w:instrText>
          </w:r>
          <w:r>
            <w:fldChar w:fldCharType="separate"/>
          </w:r>
          <w:r>
            <w:rPr>
              <w:rFonts w:hint="default" w:ascii="Times New Roman" w:hAnsi="Times New Roman" w:cs="Times New Roman"/>
              <w:kern w:val="0"/>
            </w:rPr>
            <w:t>6.2.6土壤污染防治措施及其可行性分析</w:t>
          </w:r>
          <w:r>
            <w:tab/>
          </w:r>
          <w:r>
            <w:fldChar w:fldCharType="begin"/>
          </w:r>
          <w:r>
            <w:instrText xml:space="preserve"> PAGEREF _Toc14399 \h </w:instrText>
          </w:r>
          <w:r>
            <w:fldChar w:fldCharType="separate"/>
          </w:r>
          <w:r>
            <w:t>230</w:t>
          </w:r>
          <w:r>
            <w:fldChar w:fldCharType="end"/>
          </w:r>
          <w:r>
            <w:fldChar w:fldCharType="end"/>
          </w:r>
        </w:p>
        <w:p>
          <w:pPr>
            <w:pStyle w:val="64"/>
            <w:tabs>
              <w:tab w:val="right" w:leader="dot" w:pos="8306"/>
            </w:tabs>
          </w:pPr>
          <w:r>
            <w:fldChar w:fldCharType="begin"/>
          </w:r>
          <w:r>
            <w:instrText xml:space="preserve"> HYPERLINK \l _Toc13504 </w:instrText>
          </w:r>
          <w:r>
            <w:fldChar w:fldCharType="separate"/>
          </w:r>
          <w:r>
            <w:rPr>
              <w:rFonts w:hint="default" w:ascii="Times New Roman" w:hAnsi="Times New Roman" w:cs="Times New Roman"/>
              <w:kern w:val="0"/>
            </w:rPr>
            <w:t>6.2.7污染防治措施汇总及环保验收</w:t>
          </w:r>
          <w:r>
            <w:tab/>
          </w:r>
          <w:r>
            <w:fldChar w:fldCharType="begin"/>
          </w:r>
          <w:r>
            <w:instrText xml:space="preserve"> PAGEREF _Toc13504 \h </w:instrText>
          </w:r>
          <w:r>
            <w:fldChar w:fldCharType="separate"/>
          </w:r>
          <w:r>
            <w:t>233</w:t>
          </w:r>
          <w:r>
            <w:fldChar w:fldCharType="end"/>
          </w:r>
          <w:r>
            <w:fldChar w:fldCharType="end"/>
          </w:r>
        </w:p>
        <w:p>
          <w:pPr>
            <w:pStyle w:val="62"/>
            <w:tabs>
              <w:tab w:val="right" w:leader="dot" w:pos="8306"/>
            </w:tabs>
          </w:pPr>
          <w:r>
            <w:fldChar w:fldCharType="begin"/>
          </w:r>
          <w:r>
            <w:instrText xml:space="preserve"> HYPERLINK \l _Toc11840 </w:instrText>
          </w:r>
          <w:r>
            <w:fldChar w:fldCharType="separate"/>
          </w:r>
          <w:r>
            <w:rPr>
              <w:rFonts w:hint="default" w:ascii="Times New Roman" w:hAnsi="Times New Roman" w:cs="Times New Roman"/>
            </w:rPr>
            <w:t>第7章  环境影</w:t>
          </w:r>
          <w:r>
            <w:rPr>
              <w:rFonts w:cs="Times New Roman"/>
            </w:rPr>
            <w:t>响经济损益分析</w:t>
          </w:r>
          <w:r>
            <w:tab/>
          </w:r>
          <w:r>
            <w:fldChar w:fldCharType="begin"/>
          </w:r>
          <w:r>
            <w:instrText xml:space="preserve"> PAGEREF _Toc11840 \h </w:instrText>
          </w:r>
          <w:r>
            <w:fldChar w:fldCharType="separate"/>
          </w:r>
          <w:r>
            <w:t>236</w:t>
          </w:r>
          <w:r>
            <w:fldChar w:fldCharType="end"/>
          </w:r>
          <w:r>
            <w:fldChar w:fldCharType="end"/>
          </w:r>
        </w:p>
        <w:p>
          <w:pPr>
            <w:pStyle w:val="63"/>
            <w:tabs>
              <w:tab w:val="right" w:leader="dot" w:pos="8306"/>
            </w:tabs>
          </w:pPr>
          <w:r>
            <w:fldChar w:fldCharType="begin"/>
          </w:r>
          <w:r>
            <w:instrText xml:space="preserve"> HYPERLINK \l _Toc1835 </w:instrText>
          </w:r>
          <w:r>
            <w:fldChar w:fldCharType="separate"/>
          </w:r>
          <w:r>
            <w:rPr>
              <w:rFonts w:hint="eastAsia" w:ascii="Times New Roman" w:hAnsi="Times New Roman" w:eastAsia="宋体"/>
              <w:szCs w:val="30"/>
            </w:rPr>
            <w:t>7</w:t>
          </w:r>
          <w:r>
            <w:rPr>
              <w:rFonts w:ascii="Times New Roman" w:hAnsi="Times New Roman" w:eastAsia="宋体"/>
              <w:szCs w:val="30"/>
            </w:rPr>
            <w:t>.1</w:t>
          </w:r>
          <w:r>
            <w:rPr>
              <w:rFonts w:hint="eastAsia" w:ascii="Times New Roman" w:hAnsi="Times New Roman" w:eastAsia="宋体"/>
              <w:szCs w:val="30"/>
            </w:rPr>
            <w:t>环保投资及估算</w:t>
          </w:r>
          <w:r>
            <w:tab/>
          </w:r>
          <w:r>
            <w:fldChar w:fldCharType="begin"/>
          </w:r>
          <w:r>
            <w:instrText xml:space="preserve"> PAGEREF _Toc1835 \h </w:instrText>
          </w:r>
          <w:r>
            <w:fldChar w:fldCharType="separate"/>
          </w:r>
          <w:r>
            <w:t>236</w:t>
          </w:r>
          <w:r>
            <w:fldChar w:fldCharType="end"/>
          </w:r>
          <w:r>
            <w:fldChar w:fldCharType="end"/>
          </w:r>
        </w:p>
        <w:p>
          <w:pPr>
            <w:pStyle w:val="63"/>
            <w:tabs>
              <w:tab w:val="right" w:leader="dot" w:pos="8306"/>
            </w:tabs>
          </w:pPr>
          <w:r>
            <w:fldChar w:fldCharType="begin"/>
          </w:r>
          <w:r>
            <w:instrText xml:space="preserve"> HYPERLINK \l _Toc13529 </w:instrText>
          </w:r>
          <w:r>
            <w:fldChar w:fldCharType="separate"/>
          </w:r>
          <w:r>
            <w:rPr>
              <w:rFonts w:hint="eastAsia" w:ascii="Times New Roman" w:hAnsi="Times New Roman" w:eastAsia="宋体"/>
              <w:szCs w:val="30"/>
            </w:rPr>
            <w:t>7</w:t>
          </w:r>
          <w:r>
            <w:rPr>
              <w:rFonts w:ascii="Times New Roman" w:hAnsi="Times New Roman" w:eastAsia="宋体"/>
              <w:szCs w:val="30"/>
            </w:rPr>
            <w:t>.2</w:t>
          </w:r>
          <w:r>
            <w:rPr>
              <w:rFonts w:hint="eastAsia" w:ascii="Times New Roman" w:hAnsi="Times New Roman" w:eastAsia="宋体"/>
              <w:szCs w:val="30"/>
            </w:rPr>
            <w:t>经济</w:t>
          </w:r>
          <w:r>
            <w:rPr>
              <w:rFonts w:ascii="Times New Roman" w:hAnsi="Times New Roman" w:eastAsia="宋体"/>
              <w:szCs w:val="30"/>
            </w:rPr>
            <w:t>效益分析</w:t>
          </w:r>
          <w:r>
            <w:tab/>
          </w:r>
          <w:r>
            <w:fldChar w:fldCharType="begin"/>
          </w:r>
          <w:r>
            <w:instrText xml:space="preserve"> PAGEREF _Toc13529 \h </w:instrText>
          </w:r>
          <w:r>
            <w:fldChar w:fldCharType="separate"/>
          </w:r>
          <w:r>
            <w:t>236</w:t>
          </w:r>
          <w:r>
            <w:fldChar w:fldCharType="end"/>
          </w:r>
          <w:r>
            <w:fldChar w:fldCharType="end"/>
          </w:r>
        </w:p>
        <w:p>
          <w:pPr>
            <w:pStyle w:val="63"/>
            <w:tabs>
              <w:tab w:val="right" w:leader="dot" w:pos="8306"/>
            </w:tabs>
          </w:pPr>
          <w:r>
            <w:fldChar w:fldCharType="begin"/>
          </w:r>
          <w:r>
            <w:instrText xml:space="preserve"> HYPERLINK \l _Toc10349 </w:instrText>
          </w:r>
          <w:r>
            <w:fldChar w:fldCharType="separate"/>
          </w:r>
          <w:r>
            <w:rPr>
              <w:rFonts w:hint="eastAsia" w:ascii="Times New Roman" w:hAnsi="Times New Roman" w:eastAsia="宋体"/>
              <w:szCs w:val="30"/>
            </w:rPr>
            <w:t>7</w:t>
          </w:r>
          <w:r>
            <w:rPr>
              <w:rFonts w:ascii="Times New Roman" w:hAnsi="Times New Roman" w:eastAsia="宋体"/>
              <w:szCs w:val="30"/>
            </w:rPr>
            <w:t>.</w:t>
          </w:r>
          <w:r>
            <w:rPr>
              <w:rFonts w:hint="eastAsia" w:ascii="Times New Roman" w:hAnsi="Times New Roman" w:eastAsia="宋体"/>
              <w:szCs w:val="30"/>
            </w:rPr>
            <w:t>3社会</w:t>
          </w:r>
          <w:r>
            <w:rPr>
              <w:rFonts w:ascii="Times New Roman" w:hAnsi="Times New Roman" w:eastAsia="宋体"/>
              <w:szCs w:val="30"/>
            </w:rPr>
            <w:t>效益分析</w:t>
          </w:r>
          <w:r>
            <w:tab/>
          </w:r>
          <w:r>
            <w:fldChar w:fldCharType="begin"/>
          </w:r>
          <w:r>
            <w:instrText xml:space="preserve"> PAGEREF _Toc10349 \h </w:instrText>
          </w:r>
          <w:r>
            <w:fldChar w:fldCharType="separate"/>
          </w:r>
          <w:r>
            <w:t>236</w:t>
          </w:r>
          <w:r>
            <w:fldChar w:fldCharType="end"/>
          </w:r>
          <w:r>
            <w:fldChar w:fldCharType="end"/>
          </w:r>
        </w:p>
        <w:p>
          <w:pPr>
            <w:pStyle w:val="63"/>
            <w:tabs>
              <w:tab w:val="right" w:leader="dot" w:pos="8306"/>
            </w:tabs>
          </w:pPr>
          <w:r>
            <w:fldChar w:fldCharType="begin"/>
          </w:r>
          <w:r>
            <w:instrText xml:space="preserve"> HYPERLINK \l _Toc9737 </w:instrText>
          </w:r>
          <w:r>
            <w:fldChar w:fldCharType="separate"/>
          </w:r>
          <w:r>
            <w:rPr>
              <w:rFonts w:hint="eastAsia" w:ascii="Times New Roman" w:hAnsi="Times New Roman" w:eastAsia="宋体"/>
              <w:szCs w:val="30"/>
            </w:rPr>
            <w:t>7</w:t>
          </w:r>
          <w:r>
            <w:rPr>
              <w:rFonts w:ascii="Times New Roman" w:hAnsi="Times New Roman" w:eastAsia="宋体"/>
              <w:szCs w:val="30"/>
            </w:rPr>
            <w:t>.</w:t>
          </w:r>
          <w:r>
            <w:rPr>
              <w:rFonts w:hint="eastAsia" w:ascii="Times New Roman" w:hAnsi="Times New Roman" w:eastAsia="宋体"/>
              <w:szCs w:val="30"/>
            </w:rPr>
            <w:t>4结论</w:t>
          </w:r>
          <w:r>
            <w:tab/>
          </w:r>
          <w:r>
            <w:fldChar w:fldCharType="begin"/>
          </w:r>
          <w:r>
            <w:instrText xml:space="preserve"> PAGEREF _Toc9737 \h </w:instrText>
          </w:r>
          <w:r>
            <w:fldChar w:fldCharType="separate"/>
          </w:r>
          <w:r>
            <w:t>237</w:t>
          </w:r>
          <w:r>
            <w:fldChar w:fldCharType="end"/>
          </w:r>
          <w:r>
            <w:fldChar w:fldCharType="end"/>
          </w:r>
        </w:p>
        <w:p>
          <w:pPr>
            <w:pStyle w:val="62"/>
            <w:tabs>
              <w:tab w:val="right" w:leader="dot" w:pos="8306"/>
            </w:tabs>
          </w:pPr>
          <w:r>
            <w:fldChar w:fldCharType="begin"/>
          </w:r>
          <w:r>
            <w:instrText xml:space="preserve"> HYPERLINK \l _Toc31137 </w:instrText>
          </w:r>
          <w:r>
            <w:fldChar w:fldCharType="separate"/>
          </w:r>
          <w:r>
            <w:rPr>
              <w:rFonts w:cs="Times New Roman"/>
            </w:rPr>
            <w:t>第</w:t>
          </w:r>
          <w:r>
            <w:rPr>
              <w:rFonts w:hint="eastAsia" w:cs="Times New Roman"/>
            </w:rPr>
            <w:t>8</w:t>
          </w:r>
          <w:r>
            <w:rPr>
              <w:rFonts w:cs="Times New Roman"/>
            </w:rPr>
            <w:t>章  环境管理及</w:t>
          </w:r>
          <w:r>
            <w:rPr>
              <w:rFonts w:hint="eastAsia" w:cs="Times New Roman"/>
            </w:rPr>
            <w:t>监测</w:t>
          </w:r>
          <w:r>
            <w:rPr>
              <w:rFonts w:cs="Times New Roman"/>
            </w:rPr>
            <w:t>计划</w:t>
          </w:r>
          <w:r>
            <w:tab/>
          </w:r>
          <w:r>
            <w:fldChar w:fldCharType="begin"/>
          </w:r>
          <w:r>
            <w:instrText xml:space="preserve"> PAGEREF _Toc31137 \h </w:instrText>
          </w:r>
          <w:r>
            <w:fldChar w:fldCharType="separate"/>
          </w:r>
          <w:r>
            <w:t>238</w:t>
          </w:r>
          <w:r>
            <w:fldChar w:fldCharType="end"/>
          </w:r>
          <w:r>
            <w:fldChar w:fldCharType="end"/>
          </w:r>
        </w:p>
        <w:p>
          <w:pPr>
            <w:pStyle w:val="63"/>
            <w:tabs>
              <w:tab w:val="right" w:leader="dot" w:pos="8306"/>
            </w:tabs>
          </w:pPr>
          <w:r>
            <w:fldChar w:fldCharType="begin"/>
          </w:r>
          <w:r>
            <w:instrText xml:space="preserve"> HYPERLINK \l _Toc22852 </w:instrText>
          </w:r>
          <w:r>
            <w:fldChar w:fldCharType="separate"/>
          </w:r>
          <w:r>
            <w:rPr>
              <w:rFonts w:hint="eastAsia" w:ascii="Times New Roman" w:hAnsi="Times New Roman" w:eastAsia="宋体"/>
              <w:szCs w:val="30"/>
            </w:rPr>
            <w:t>8</w:t>
          </w:r>
          <w:r>
            <w:rPr>
              <w:rFonts w:ascii="Times New Roman" w:hAnsi="Times New Roman" w:eastAsia="宋体"/>
              <w:szCs w:val="30"/>
            </w:rPr>
            <w:t>.1环境管理</w:t>
          </w:r>
          <w:r>
            <w:tab/>
          </w:r>
          <w:r>
            <w:fldChar w:fldCharType="begin"/>
          </w:r>
          <w:r>
            <w:instrText xml:space="preserve"> PAGEREF _Toc22852 \h </w:instrText>
          </w:r>
          <w:r>
            <w:fldChar w:fldCharType="separate"/>
          </w:r>
          <w:r>
            <w:t>238</w:t>
          </w:r>
          <w:r>
            <w:fldChar w:fldCharType="end"/>
          </w:r>
          <w:r>
            <w:fldChar w:fldCharType="end"/>
          </w:r>
        </w:p>
        <w:p>
          <w:pPr>
            <w:pStyle w:val="64"/>
            <w:tabs>
              <w:tab w:val="right" w:leader="dot" w:pos="8306"/>
            </w:tabs>
          </w:pPr>
          <w:r>
            <w:fldChar w:fldCharType="begin"/>
          </w:r>
          <w:r>
            <w:instrText xml:space="preserve"> HYPERLINK \l _Toc11273 </w:instrText>
          </w:r>
          <w:r>
            <w:fldChar w:fldCharType="separate"/>
          </w:r>
          <w:r>
            <w:rPr>
              <w:rFonts w:hint="default" w:ascii="Times New Roman" w:hAnsi="Times New Roman" w:cs="Times New Roman"/>
              <w:kern w:val="0"/>
            </w:rPr>
            <w:t>8.1.1环境管理制度</w:t>
          </w:r>
          <w:r>
            <w:tab/>
          </w:r>
          <w:r>
            <w:fldChar w:fldCharType="begin"/>
          </w:r>
          <w:r>
            <w:instrText xml:space="preserve"> PAGEREF _Toc11273 \h </w:instrText>
          </w:r>
          <w:r>
            <w:fldChar w:fldCharType="separate"/>
          </w:r>
          <w:r>
            <w:t>238</w:t>
          </w:r>
          <w:r>
            <w:fldChar w:fldCharType="end"/>
          </w:r>
          <w:r>
            <w:fldChar w:fldCharType="end"/>
          </w:r>
        </w:p>
        <w:p>
          <w:pPr>
            <w:pStyle w:val="64"/>
            <w:tabs>
              <w:tab w:val="right" w:leader="dot" w:pos="8306"/>
            </w:tabs>
          </w:pPr>
          <w:r>
            <w:fldChar w:fldCharType="begin"/>
          </w:r>
          <w:r>
            <w:instrText xml:space="preserve"> HYPERLINK \l _Toc7135 </w:instrText>
          </w:r>
          <w:r>
            <w:fldChar w:fldCharType="separate"/>
          </w:r>
          <w:r>
            <w:rPr>
              <w:rFonts w:hint="default" w:ascii="Times New Roman" w:hAnsi="Times New Roman" w:cs="Times New Roman"/>
              <w:kern w:val="0"/>
            </w:rPr>
            <w:t>8.1.2环境管理机构</w:t>
          </w:r>
          <w:r>
            <w:tab/>
          </w:r>
          <w:r>
            <w:fldChar w:fldCharType="begin"/>
          </w:r>
          <w:r>
            <w:instrText xml:space="preserve"> PAGEREF _Toc7135 \h </w:instrText>
          </w:r>
          <w:r>
            <w:fldChar w:fldCharType="separate"/>
          </w:r>
          <w:r>
            <w:t>238</w:t>
          </w:r>
          <w:r>
            <w:fldChar w:fldCharType="end"/>
          </w:r>
          <w:r>
            <w:fldChar w:fldCharType="end"/>
          </w:r>
        </w:p>
        <w:p>
          <w:pPr>
            <w:pStyle w:val="64"/>
            <w:tabs>
              <w:tab w:val="right" w:leader="dot" w:pos="8306"/>
            </w:tabs>
          </w:pPr>
          <w:r>
            <w:fldChar w:fldCharType="begin"/>
          </w:r>
          <w:r>
            <w:instrText xml:space="preserve"> HYPERLINK \l _Toc7255 </w:instrText>
          </w:r>
          <w:r>
            <w:fldChar w:fldCharType="separate"/>
          </w:r>
          <w:r>
            <w:rPr>
              <w:rFonts w:hint="default" w:ascii="Times New Roman" w:hAnsi="Times New Roman" w:cs="Times New Roman"/>
              <w:kern w:val="0"/>
            </w:rPr>
            <w:t>8.1.3环境管理机构的主要职责</w:t>
          </w:r>
          <w:r>
            <w:tab/>
          </w:r>
          <w:r>
            <w:fldChar w:fldCharType="begin"/>
          </w:r>
          <w:r>
            <w:instrText xml:space="preserve"> PAGEREF _Toc7255 \h </w:instrText>
          </w:r>
          <w:r>
            <w:fldChar w:fldCharType="separate"/>
          </w:r>
          <w:r>
            <w:t>238</w:t>
          </w:r>
          <w:r>
            <w:fldChar w:fldCharType="end"/>
          </w:r>
          <w:r>
            <w:fldChar w:fldCharType="end"/>
          </w:r>
        </w:p>
        <w:p>
          <w:pPr>
            <w:pStyle w:val="64"/>
            <w:tabs>
              <w:tab w:val="right" w:leader="dot" w:pos="8306"/>
            </w:tabs>
          </w:pPr>
          <w:r>
            <w:fldChar w:fldCharType="begin"/>
          </w:r>
          <w:r>
            <w:instrText xml:space="preserve"> HYPERLINK \l _Toc20914 </w:instrText>
          </w:r>
          <w:r>
            <w:fldChar w:fldCharType="separate"/>
          </w:r>
          <w:r>
            <w:rPr>
              <w:rFonts w:hint="default" w:ascii="Times New Roman" w:hAnsi="Times New Roman" w:cs="Times New Roman"/>
              <w:kern w:val="0"/>
            </w:rPr>
            <w:t>8.1.4环境保护管理计划</w:t>
          </w:r>
          <w:r>
            <w:tab/>
          </w:r>
          <w:r>
            <w:fldChar w:fldCharType="begin"/>
          </w:r>
          <w:r>
            <w:instrText xml:space="preserve"> PAGEREF _Toc20914 \h </w:instrText>
          </w:r>
          <w:r>
            <w:fldChar w:fldCharType="separate"/>
          </w:r>
          <w:r>
            <w:t>239</w:t>
          </w:r>
          <w:r>
            <w:fldChar w:fldCharType="end"/>
          </w:r>
          <w:r>
            <w:fldChar w:fldCharType="end"/>
          </w:r>
        </w:p>
        <w:p>
          <w:pPr>
            <w:pStyle w:val="64"/>
            <w:tabs>
              <w:tab w:val="right" w:leader="dot" w:pos="8306"/>
            </w:tabs>
          </w:pPr>
          <w:r>
            <w:fldChar w:fldCharType="begin"/>
          </w:r>
          <w:r>
            <w:instrText xml:space="preserve"> HYPERLINK \l _Toc22860 </w:instrText>
          </w:r>
          <w:r>
            <w:fldChar w:fldCharType="separate"/>
          </w:r>
          <w:r>
            <w:rPr>
              <w:rFonts w:hint="default" w:ascii="Times New Roman" w:hAnsi="Times New Roman" w:cs="Times New Roman"/>
              <w:kern w:val="0"/>
            </w:rPr>
            <w:t>8.1.5排污许可证申领</w:t>
          </w:r>
          <w:r>
            <w:tab/>
          </w:r>
          <w:r>
            <w:fldChar w:fldCharType="begin"/>
          </w:r>
          <w:r>
            <w:instrText xml:space="preserve"> PAGEREF _Toc22860 \h </w:instrText>
          </w:r>
          <w:r>
            <w:fldChar w:fldCharType="separate"/>
          </w:r>
          <w:r>
            <w:t>239</w:t>
          </w:r>
          <w:r>
            <w:fldChar w:fldCharType="end"/>
          </w:r>
          <w:r>
            <w:fldChar w:fldCharType="end"/>
          </w:r>
        </w:p>
        <w:p>
          <w:pPr>
            <w:pStyle w:val="63"/>
            <w:tabs>
              <w:tab w:val="right" w:leader="dot" w:pos="8306"/>
            </w:tabs>
          </w:pPr>
          <w:r>
            <w:fldChar w:fldCharType="begin"/>
          </w:r>
          <w:r>
            <w:instrText xml:space="preserve"> HYPERLINK \l _Toc10161 </w:instrText>
          </w:r>
          <w:r>
            <w:fldChar w:fldCharType="separate"/>
          </w:r>
          <w:r>
            <w:rPr>
              <w:rFonts w:hint="default" w:ascii="Times New Roman" w:hAnsi="Times New Roman" w:eastAsia="宋体" w:cs="Times New Roman"/>
              <w:szCs w:val="30"/>
            </w:rPr>
            <w:t>8.2环境监测计划</w:t>
          </w:r>
          <w:r>
            <w:tab/>
          </w:r>
          <w:r>
            <w:fldChar w:fldCharType="begin"/>
          </w:r>
          <w:r>
            <w:instrText xml:space="preserve"> PAGEREF _Toc10161 \h </w:instrText>
          </w:r>
          <w:r>
            <w:fldChar w:fldCharType="separate"/>
          </w:r>
          <w:r>
            <w:t>239</w:t>
          </w:r>
          <w:r>
            <w:fldChar w:fldCharType="end"/>
          </w:r>
          <w:r>
            <w:fldChar w:fldCharType="end"/>
          </w:r>
        </w:p>
        <w:p>
          <w:pPr>
            <w:pStyle w:val="64"/>
            <w:tabs>
              <w:tab w:val="right" w:leader="dot" w:pos="8306"/>
            </w:tabs>
          </w:pPr>
          <w:r>
            <w:fldChar w:fldCharType="begin"/>
          </w:r>
          <w:r>
            <w:instrText xml:space="preserve"> HYPERLINK \l _Toc14420 </w:instrText>
          </w:r>
          <w:r>
            <w:fldChar w:fldCharType="separate"/>
          </w:r>
          <w:r>
            <w:rPr>
              <w:rFonts w:hint="default" w:ascii="Times New Roman" w:hAnsi="Times New Roman" w:cs="Times New Roman"/>
              <w:kern w:val="0"/>
            </w:rPr>
            <w:t>8.2.1监测目的及原则</w:t>
          </w:r>
          <w:r>
            <w:tab/>
          </w:r>
          <w:r>
            <w:fldChar w:fldCharType="begin"/>
          </w:r>
          <w:r>
            <w:instrText xml:space="preserve"> PAGEREF _Toc14420 \h </w:instrText>
          </w:r>
          <w:r>
            <w:fldChar w:fldCharType="separate"/>
          </w:r>
          <w:r>
            <w:t>239</w:t>
          </w:r>
          <w:r>
            <w:fldChar w:fldCharType="end"/>
          </w:r>
          <w:r>
            <w:fldChar w:fldCharType="end"/>
          </w:r>
        </w:p>
        <w:p>
          <w:pPr>
            <w:pStyle w:val="64"/>
            <w:tabs>
              <w:tab w:val="right" w:leader="dot" w:pos="8306"/>
            </w:tabs>
          </w:pPr>
          <w:r>
            <w:fldChar w:fldCharType="begin"/>
          </w:r>
          <w:r>
            <w:instrText xml:space="preserve"> HYPERLINK \l _Toc20641 </w:instrText>
          </w:r>
          <w:r>
            <w:fldChar w:fldCharType="separate"/>
          </w:r>
          <w:r>
            <w:rPr>
              <w:rFonts w:hint="default" w:ascii="Times New Roman" w:hAnsi="Times New Roman" w:cs="Times New Roman"/>
              <w:kern w:val="0"/>
            </w:rPr>
            <w:t>8.2.2监测计划</w:t>
          </w:r>
          <w:r>
            <w:tab/>
          </w:r>
          <w:r>
            <w:fldChar w:fldCharType="begin"/>
          </w:r>
          <w:r>
            <w:instrText xml:space="preserve"> PAGEREF _Toc20641 \h </w:instrText>
          </w:r>
          <w:r>
            <w:fldChar w:fldCharType="separate"/>
          </w:r>
          <w:r>
            <w:t>240</w:t>
          </w:r>
          <w:r>
            <w:fldChar w:fldCharType="end"/>
          </w:r>
          <w:r>
            <w:fldChar w:fldCharType="end"/>
          </w:r>
        </w:p>
        <w:p>
          <w:pPr>
            <w:pStyle w:val="63"/>
            <w:tabs>
              <w:tab w:val="right" w:leader="dot" w:pos="8306"/>
            </w:tabs>
          </w:pPr>
          <w:r>
            <w:fldChar w:fldCharType="begin"/>
          </w:r>
          <w:r>
            <w:instrText xml:space="preserve"> HYPERLINK \l _Toc12299 </w:instrText>
          </w:r>
          <w:r>
            <w:fldChar w:fldCharType="separate"/>
          </w:r>
          <w:r>
            <w:rPr>
              <w:rFonts w:hint="default" w:ascii="Times New Roman" w:hAnsi="Times New Roman" w:eastAsia="宋体" w:cs="Times New Roman"/>
              <w:szCs w:val="30"/>
            </w:rPr>
            <w:t>8.3排污口规范化管理</w:t>
          </w:r>
          <w:r>
            <w:tab/>
          </w:r>
          <w:r>
            <w:fldChar w:fldCharType="begin"/>
          </w:r>
          <w:r>
            <w:instrText xml:space="preserve"> PAGEREF _Toc12299 \h </w:instrText>
          </w:r>
          <w:r>
            <w:fldChar w:fldCharType="separate"/>
          </w:r>
          <w:r>
            <w:t>241</w:t>
          </w:r>
          <w:r>
            <w:fldChar w:fldCharType="end"/>
          </w:r>
          <w:r>
            <w:fldChar w:fldCharType="end"/>
          </w:r>
        </w:p>
        <w:p>
          <w:pPr>
            <w:pStyle w:val="64"/>
            <w:tabs>
              <w:tab w:val="right" w:leader="dot" w:pos="8306"/>
            </w:tabs>
          </w:pPr>
          <w:r>
            <w:fldChar w:fldCharType="begin"/>
          </w:r>
          <w:r>
            <w:instrText xml:space="preserve"> HYPERLINK \l _Toc17417 </w:instrText>
          </w:r>
          <w:r>
            <w:fldChar w:fldCharType="separate"/>
          </w:r>
          <w:r>
            <w:rPr>
              <w:rFonts w:hint="default" w:ascii="Times New Roman" w:hAnsi="Times New Roman" w:cs="Times New Roman"/>
              <w:kern w:val="0"/>
            </w:rPr>
            <w:t>8.3.1管理原则</w:t>
          </w:r>
          <w:r>
            <w:tab/>
          </w:r>
          <w:r>
            <w:fldChar w:fldCharType="begin"/>
          </w:r>
          <w:r>
            <w:instrText xml:space="preserve"> PAGEREF _Toc17417 \h </w:instrText>
          </w:r>
          <w:r>
            <w:fldChar w:fldCharType="separate"/>
          </w:r>
          <w:r>
            <w:t>241</w:t>
          </w:r>
          <w:r>
            <w:fldChar w:fldCharType="end"/>
          </w:r>
          <w:r>
            <w:fldChar w:fldCharType="end"/>
          </w:r>
        </w:p>
        <w:p>
          <w:pPr>
            <w:pStyle w:val="64"/>
            <w:tabs>
              <w:tab w:val="right" w:leader="dot" w:pos="8306"/>
            </w:tabs>
          </w:pPr>
          <w:r>
            <w:fldChar w:fldCharType="begin"/>
          </w:r>
          <w:r>
            <w:instrText xml:space="preserve"> HYPERLINK \l _Toc12233 </w:instrText>
          </w:r>
          <w:r>
            <w:fldChar w:fldCharType="separate"/>
          </w:r>
          <w:r>
            <w:rPr>
              <w:rFonts w:hint="default" w:ascii="Times New Roman" w:hAnsi="Times New Roman" w:cs="Times New Roman"/>
              <w:kern w:val="0"/>
            </w:rPr>
            <w:t>8.3.2技术要求</w:t>
          </w:r>
          <w:r>
            <w:tab/>
          </w:r>
          <w:r>
            <w:fldChar w:fldCharType="begin"/>
          </w:r>
          <w:r>
            <w:instrText xml:space="preserve"> PAGEREF _Toc12233 \h </w:instrText>
          </w:r>
          <w:r>
            <w:fldChar w:fldCharType="separate"/>
          </w:r>
          <w:r>
            <w:t>242</w:t>
          </w:r>
          <w:r>
            <w:fldChar w:fldCharType="end"/>
          </w:r>
          <w:r>
            <w:fldChar w:fldCharType="end"/>
          </w:r>
        </w:p>
        <w:p>
          <w:pPr>
            <w:pStyle w:val="64"/>
            <w:tabs>
              <w:tab w:val="right" w:leader="dot" w:pos="8306"/>
            </w:tabs>
          </w:pPr>
          <w:r>
            <w:fldChar w:fldCharType="begin"/>
          </w:r>
          <w:r>
            <w:instrText xml:space="preserve"> HYPERLINK \l _Toc31246 </w:instrText>
          </w:r>
          <w:r>
            <w:fldChar w:fldCharType="separate"/>
          </w:r>
          <w:r>
            <w:rPr>
              <w:rFonts w:hint="default" w:ascii="Times New Roman" w:hAnsi="Times New Roman" w:cs="Times New Roman"/>
              <w:kern w:val="0"/>
            </w:rPr>
            <w:t>8.3.3排污口标识管理</w:t>
          </w:r>
          <w:r>
            <w:tab/>
          </w:r>
          <w:r>
            <w:fldChar w:fldCharType="begin"/>
          </w:r>
          <w:r>
            <w:instrText xml:space="preserve"> PAGEREF _Toc31246 \h </w:instrText>
          </w:r>
          <w:r>
            <w:fldChar w:fldCharType="separate"/>
          </w:r>
          <w:r>
            <w:t>242</w:t>
          </w:r>
          <w:r>
            <w:fldChar w:fldCharType="end"/>
          </w:r>
          <w:r>
            <w:fldChar w:fldCharType="end"/>
          </w:r>
        </w:p>
        <w:p>
          <w:pPr>
            <w:pStyle w:val="64"/>
            <w:tabs>
              <w:tab w:val="right" w:leader="dot" w:pos="8306"/>
            </w:tabs>
          </w:pPr>
          <w:r>
            <w:fldChar w:fldCharType="begin"/>
          </w:r>
          <w:r>
            <w:instrText xml:space="preserve"> HYPERLINK \l _Toc9381 </w:instrText>
          </w:r>
          <w:r>
            <w:fldChar w:fldCharType="separate"/>
          </w:r>
          <w:r>
            <w:rPr>
              <w:rFonts w:hint="default" w:ascii="Times New Roman" w:hAnsi="Times New Roman" w:cs="Times New Roman"/>
              <w:kern w:val="0"/>
            </w:rPr>
            <w:t>8.3.4排污口建档管理</w:t>
          </w:r>
          <w:r>
            <w:tab/>
          </w:r>
          <w:r>
            <w:fldChar w:fldCharType="begin"/>
          </w:r>
          <w:r>
            <w:instrText xml:space="preserve"> PAGEREF _Toc9381 \h </w:instrText>
          </w:r>
          <w:r>
            <w:fldChar w:fldCharType="separate"/>
          </w:r>
          <w:r>
            <w:t>242</w:t>
          </w:r>
          <w:r>
            <w:fldChar w:fldCharType="end"/>
          </w:r>
          <w:r>
            <w:fldChar w:fldCharType="end"/>
          </w:r>
        </w:p>
        <w:p>
          <w:pPr>
            <w:pStyle w:val="63"/>
            <w:tabs>
              <w:tab w:val="right" w:leader="dot" w:pos="8306"/>
            </w:tabs>
          </w:pPr>
          <w:r>
            <w:fldChar w:fldCharType="begin"/>
          </w:r>
          <w:r>
            <w:instrText xml:space="preserve"> HYPERLINK \l _Toc13025 </w:instrText>
          </w:r>
          <w:r>
            <w:fldChar w:fldCharType="separate"/>
          </w:r>
          <w:r>
            <w:rPr>
              <w:rFonts w:hint="default" w:ascii="Times New Roman" w:hAnsi="Times New Roman" w:eastAsia="宋体" w:cs="Times New Roman"/>
              <w:szCs w:val="30"/>
            </w:rPr>
            <w:t>8.4污染物排放清单</w:t>
          </w:r>
          <w:r>
            <w:tab/>
          </w:r>
          <w:r>
            <w:fldChar w:fldCharType="begin"/>
          </w:r>
          <w:r>
            <w:instrText xml:space="preserve"> PAGEREF _Toc13025 \h </w:instrText>
          </w:r>
          <w:r>
            <w:fldChar w:fldCharType="separate"/>
          </w:r>
          <w:r>
            <w:t>243</w:t>
          </w:r>
          <w:r>
            <w:fldChar w:fldCharType="end"/>
          </w:r>
          <w:r>
            <w:fldChar w:fldCharType="end"/>
          </w:r>
        </w:p>
        <w:p>
          <w:pPr>
            <w:pStyle w:val="63"/>
            <w:tabs>
              <w:tab w:val="right" w:leader="dot" w:pos="8306"/>
            </w:tabs>
          </w:pPr>
          <w:r>
            <w:fldChar w:fldCharType="begin"/>
          </w:r>
          <w:r>
            <w:instrText xml:space="preserve"> HYPERLINK \l _Toc3813 </w:instrText>
          </w:r>
          <w:r>
            <w:fldChar w:fldCharType="separate"/>
          </w:r>
          <w:r>
            <w:rPr>
              <w:rFonts w:hint="eastAsia" w:ascii="Times New Roman" w:hAnsi="Times New Roman" w:eastAsia="宋体"/>
              <w:szCs w:val="30"/>
            </w:rPr>
            <w:t>8</w:t>
          </w:r>
          <w:r>
            <w:rPr>
              <w:rFonts w:ascii="Times New Roman" w:hAnsi="Times New Roman" w:eastAsia="宋体"/>
              <w:szCs w:val="30"/>
            </w:rPr>
            <w:t>.</w:t>
          </w:r>
          <w:r>
            <w:rPr>
              <w:rFonts w:hint="eastAsia" w:ascii="Times New Roman" w:hAnsi="Times New Roman" w:eastAsia="宋体"/>
              <w:szCs w:val="30"/>
            </w:rPr>
            <w:t>5“三同时”验收</w:t>
          </w:r>
          <w:r>
            <w:tab/>
          </w:r>
          <w:r>
            <w:fldChar w:fldCharType="begin"/>
          </w:r>
          <w:r>
            <w:instrText xml:space="preserve"> PAGEREF _Toc3813 \h </w:instrText>
          </w:r>
          <w:r>
            <w:fldChar w:fldCharType="separate"/>
          </w:r>
          <w:r>
            <w:t>251</w:t>
          </w:r>
          <w:r>
            <w:fldChar w:fldCharType="end"/>
          </w:r>
          <w:r>
            <w:fldChar w:fldCharType="end"/>
          </w:r>
        </w:p>
        <w:p>
          <w:pPr>
            <w:pStyle w:val="62"/>
            <w:tabs>
              <w:tab w:val="right" w:leader="dot" w:pos="8306"/>
            </w:tabs>
          </w:pPr>
          <w:r>
            <w:fldChar w:fldCharType="begin"/>
          </w:r>
          <w:r>
            <w:instrText xml:space="preserve"> HYPERLINK \l _Toc28061 </w:instrText>
          </w:r>
          <w:r>
            <w:fldChar w:fldCharType="separate"/>
          </w:r>
          <w:r>
            <w:rPr>
              <w:rFonts w:hint="default" w:ascii="Times New Roman" w:hAnsi="Times New Roman" w:cs="Times New Roman"/>
            </w:rPr>
            <w:t>第9章 结论</w:t>
          </w:r>
          <w:r>
            <w:tab/>
          </w:r>
          <w:r>
            <w:fldChar w:fldCharType="begin"/>
          </w:r>
          <w:r>
            <w:instrText xml:space="preserve"> PAGEREF _Toc28061 \h </w:instrText>
          </w:r>
          <w:r>
            <w:fldChar w:fldCharType="separate"/>
          </w:r>
          <w:r>
            <w:t>253</w:t>
          </w:r>
          <w:r>
            <w:fldChar w:fldCharType="end"/>
          </w:r>
          <w:r>
            <w:fldChar w:fldCharType="end"/>
          </w:r>
        </w:p>
        <w:p>
          <w:pPr>
            <w:pStyle w:val="63"/>
            <w:tabs>
              <w:tab w:val="right" w:leader="dot" w:pos="8306"/>
            </w:tabs>
          </w:pPr>
          <w:r>
            <w:fldChar w:fldCharType="begin"/>
          </w:r>
          <w:r>
            <w:instrText xml:space="preserve"> HYPERLINK \l _Toc9400 </w:instrText>
          </w:r>
          <w:r>
            <w:fldChar w:fldCharType="separate"/>
          </w:r>
          <w:r>
            <w:rPr>
              <w:rFonts w:hint="default" w:ascii="Times New Roman" w:hAnsi="Times New Roman" w:cs="Times New Roman"/>
            </w:rPr>
            <w:t>9.1项目概况</w:t>
          </w:r>
          <w:r>
            <w:tab/>
          </w:r>
          <w:r>
            <w:fldChar w:fldCharType="begin"/>
          </w:r>
          <w:r>
            <w:instrText xml:space="preserve"> PAGEREF _Toc9400 \h </w:instrText>
          </w:r>
          <w:r>
            <w:fldChar w:fldCharType="separate"/>
          </w:r>
          <w:r>
            <w:t>253</w:t>
          </w:r>
          <w:r>
            <w:fldChar w:fldCharType="end"/>
          </w:r>
          <w:r>
            <w:fldChar w:fldCharType="end"/>
          </w:r>
        </w:p>
        <w:p>
          <w:pPr>
            <w:pStyle w:val="64"/>
            <w:tabs>
              <w:tab w:val="right" w:leader="dot" w:pos="8306"/>
            </w:tabs>
          </w:pPr>
          <w:r>
            <w:fldChar w:fldCharType="begin"/>
          </w:r>
          <w:r>
            <w:instrText xml:space="preserve"> HYPERLINK \l _Toc14864 </w:instrText>
          </w:r>
          <w:r>
            <w:fldChar w:fldCharType="separate"/>
          </w:r>
          <w:r>
            <w:rPr>
              <w:rFonts w:hint="default" w:ascii="Times New Roman" w:hAnsi="Times New Roman" w:cs="Times New Roman"/>
            </w:rPr>
            <w:t>项目名称：</w:t>
          </w:r>
          <w:r>
            <w:rPr>
              <w:rFonts w:hint="default" w:ascii="Times New Roman" w:hAnsi="Times New Roman" w:cs="Times New Roman"/>
              <w:lang w:val="en-US" w:eastAsia="zh-CN"/>
            </w:rPr>
            <w:t>阿尔山市医疗废物处置中心</w:t>
          </w:r>
          <w:r>
            <w:rPr>
              <w:rFonts w:hint="default" w:ascii="Times New Roman" w:hAnsi="Times New Roman" w:cs="Times New Roman"/>
            </w:rPr>
            <w:t>建设项目</w:t>
          </w:r>
          <w:r>
            <w:tab/>
          </w:r>
          <w:r>
            <w:fldChar w:fldCharType="begin"/>
          </w:r>
          <w:r>
            <w:instrText xml:space="preserve"> PAGEREF _Toc14864 \h </w:instrText>
          </w:r>
          <w:r>
            <w:fldChar w:fldCharType="separate"/>
          </w:r>
          <w:r>
            <w:t>253</w:t>
          </w:r>
          <w:r>
            <w:fldChar w:fldCharType="end"/>
          </w:r>
          <w:r>
            <w:fldChar w:fldCharType="end"/>
          </w:r>
        </w:p>
        <w:p>
          <w:pPr>
            <w:pStyle w:val="63"/>
            <w:tabs>
              <w:tab w:val="right" w:leader="dot" w:pos="8306"/>
            </w:tabs>
          </w:pPr>
          <w:r>
            <w:fldChar w:fldCharType="begin"/>
          </w:r>
          <w:r>
            <w:instrText xml:space="preserve"> HYPERLINK \l _Toc27837 </w:instrText>
          </w:r>
          <w:r>
            <w:fldChar w:fldCharType="separate"/>
          </w:r>
          <w:r>
            <w:rPr>
              <w:rFonts w:hint="default" w:ascii="Times New Roman" w:hAnsi="Times New Roman" w:eastAsia="宋体" w:cs="Times New Roman"/>
              <w:szCs w:val="30"/>
            </w:rPr>
            <w:t>9.2产业政策符合性</w:t>
          </w:r>
          <w:r>
            <w:tab/>
          </w:r>
          <w:r>
            <w:fldChar w:fldCharType="begin"/>
          </w:r>
          <w:r>
            <w:instrText xml:space="preserve"> PAGEREF _Toc27837 \h </w:instrText>
          </w:r>
          <w:r>
            <w:fldChar w:fldCharType="separate"/>
          </w:r>
          <w:r>
            <w:t>253</w:t>
          </w:r>
          <w:r>
            <w:fldChar w:fldCharType="end"/>
          </w:r>
          <w:r>
            <w:fldChar w:fldCharType="end"/>
          </w:r>
        </w:p>
        <w:p>
          <w:pPr>
            <w:pStyle w:val="64"/>
            <w:tabs>
              <w:tab w:val="right" w:leader="dot" w:pos="8306"/>
            </w:tabs>
          </w:pPr>
          <w:r>
            <w:fldChar w:fldCharType="begin"/>
          </w:r>
          <w:r>
            <w:instrText xml:space="preserve"> HYPERLINK \l _Toc21640 </w:instrText>
          </w:r>
          <w:r>
            <w:fldChar w:fldCharType="separate"/>
          </w:r>
          <w:r>
            <w:rPr>
              <w:rFonts w:hint="default" w:ascii="Times New Roman" w:hAnsi="Times New Roman" w:cs="Times New Roman"/>
              <w:kern w:val="0"/>
              <w:szCs w:val="24"/>
            </w:rPr>
            <w:t>9.2.1与</w:t>
          </w:r>
          <w:r>
            <w:rPr>
              <w:rFonts w:hint="default" w:ascii="Times New Roman" w:hAnsi="Times New Roman" w:cs="Times New Roman"/>
              <w:kern w:val="0"/>
              <w:szCs w:val="24"/>
              <w:lang w:val="zh-CN"/>
            </w:rPr>
            <w:t>《产业结构调整指导目录》</w:t>
          </w:r>
          <w:r>
            <w:rPr>
              <w:rFonts w:hint="default" w:ascii="Times New Roman" w:hAnsi="Times New Roman" w:cs="Times New Roman"/>
              <w:kern w:val="0"/>
              <w:szCs w:val="24"/>
            </w:rPr>
            <w:t>符合性分析</w:t>
          </w:r>
          <w:r>
            <w:tab/>
          </w:r>
          <w:r>
            <w:fldChar w:fldCharType="begin"/>
          </w:r>
          <w:r>
            <w:instrText xml:space="preserve"> PAGEREF _Toc21640 \h </w:instrText>
          </w:r>
          <w:r>
            <w:fldChar w:fldCharType="separate"/>
          </w:r>
          <w:r>
            <w:t>253</w:t>
          </w:r>
          <w:r>
            <w:fldChar w:fldCharType="end"/>
          </w:r>
          <w:r>
            <w:fldChar w:fldCharType="end"/>
          </w:r>
        </w:p>
        <w:p>
          <w:pPr>
            <w:pStyle w:val="64"/>
            <w:tabs>
              <w:tab w:val="right" w:leader="dot" w:pos="8306"/>
            </w:tabs>
          </w:pPr>
          <w:r>
            <w:fldChar w:fldCharType="begin"/>
          </w:r>
          <w:r>
            <w:instrText xml:space="preserve"> HYPERLINK \l _Toc21989 </w:instrText>
          </w:r>
          <w:r>
            <w:fldChar w:fldCharType="separate"/>
          </w:r>
          <w:r>
            <w:rPr>
              <w:rFonts w:hint="default" w:ascii="Times New Roman" w:hAnsi="Times New Roman" w:cs="Times New Roman"/>
              <w:kern w:val="0"/>
              <w:szCs w:val="24"/>
              <w:lang w:val="zh-CN"/>
            </w:rPr>
            <w:t>9.</w:t>
          </w:r>
          <w:r>
            <w:rPr>
              <w:rFonts w:hint="default" w:ascii="Times New Roman" w:hAnsi="Times New Roman" w:cs="Times New Roman"/>
              <w:kern w:val="0"/>
              <w:szCs w:val="24"/>
            </w:rPr>
            <w:t>2</w:t>
          </w:r>
          <w:r>
            <w:rPr>
              <w:rFonts w:hint="default" w:ascii="Times New Roman" w:hAnsi="Times New Roman" w:cs="Times New Roman"/>
              <w:kern w:val="0"/>
              <w:szCs w:val="24"/>
              <w:lang w:val="zh-CN"/>
            </w:rPr>
            <w:t>.</w:t>
          </w:r>
          <w:r>
            <w:rPr>
              <w:rFonts w:hint="default" w:ascii="Times New Roman" w:hAnsi="Times New Roman" w:cs="Times New Roman"/>
              <w:kern w:val="0"/>
              <w:szCs w:val="24"/>
            </w:rPr>
            <w:t>2</w:t>
          </w:r>
          <w:r>
            <w:rPr>
              <w:rFonts w:hint="default" w:ascii="Times New Roman" w:hAnsi="Times New Roman" w:cs="Times New Roman"/>
              <w:bCs/>
              <w:szCs w:val="24"/>
              <w:highlight w:val="none"/>
              <w:lang w:eastAsia="zh-CN"/>
            </w:rPr>
            <w:t>《医疗废物</w:t>
          </w:r>
          <w:r>
            <w:rPr>
              <w:rFonts w:hint="default" w:ascii="Times New Roman" w:hAnsi="Times New Roman" w:cs="Times New Roman"/>
              <w:bCs/>
              <w:szCs w:val="24"/>
              <w:highlight w:val="none"/>
              <w:lang w:val="en-US" w:eastAsia="zh-CN"/>
            </w:rPr>
            <w:t>高温蒸汽</w:t>
          </w:r>
          <w:r>
            <w:rPr>
              <w:rFonts w:hint="default" w:ascii="Times New Roman" w:hAnsi="Times New Roman" w:cs="Times New Roman"/>
              <w:bCs/>
              <w:szCs w:val="24"/>
              <w:highlight w:val="none"/>
              <w:lang w:eastAsia="zh-CN"/>
            </w:rPr>
            <w:t>消毒集中处理工程技术规范》</w:t>
          </w:r>
          <w:r>
            <w:rPr>
              <w:rFonts w:hint="default" w:ascii="Times New Roman" w:hAnsi="Times New Roman" w:cs="Times New Roman"/>
              <w:bCs/>
              <w:szCs w:val="24"/>
              <w:highlight w:val="none"/>
            </w:rPr>
            <w:t>（HJ</w:t>
          </w:r>
          <w:r>
            <w:rPr>
              <w:rFonts w:hint="default" w:ascii="Times New Roman" w:hAnsi="Times New Roman" w:cs="Times New Roman"/>
              <w:bCs/>
              <w:szCs w:val="24"/>
              <w:highlight w:val="none"/>
              <w:lang w:val="en-US" w:eastAsia="zh-CN"/>
            </w:rPr>
            <w:t>276</w:t>
          </w:r>
          <w:r>
            <w:rPr>
              <w:rFonts w:hint="default" w:ascii="Times New Roman" w:hAnsi="Times New Roman" w:cs="Times New Roman"/>
              <w:bCs/>
              <w:szCs w:val="24"/>
              <w:highlight w:val="none"/>
            </w:rPr>
            <w:t>-2021）</w:t>
          </w:r>
          <w:r>
            <w:rPr>
              <w:rFonts w:hint="default" w:ascii="Times New Roman" w:hAnsi="Times New Roman" w:cs="Times New Roman"/>
              <w:kern w:val="0"/>
              <w:szCs w:val="24"/>
              <w:lang w:val="zh-CN"/>
            </w:rPr>
            <w:t>符合性分析</w:t>
          </w:r>
          <w:r>
            <w:tab/>
          </w:r>
          <w:r>
            <w:fldChar w:fldCharType="begin"/>
          </w:r>
          <w:r>
            <w:instrText xml:space="preserve"> PAGEREF _Toc21989 \h </w:instrText>
          </w:r>
          <w:r>
            <w:fldChar w:fldCharType="separate"/>
          </w:r>
          <w:r>
            <w:t>254</w:t>
          </w:r>
          <w:r>
            <w:fldChar w:fldCharType="end"/>
          </w:r>
          <w:r>
            <w:fldChar w:fldCharType="end"/>
          </w:r>
        </w:p>
        <w:p>
          <w:pPr>
            <w:pStyle w:val="64"/>
            <w:tabs>
              <w:tab w:val="right" w:leader="dot" w:pos="8306"/>
            </w:tabs>
          </w:pPr>
          <w:r>
            <w:fldChar w:fldCharType="begin"/>
          </w:r>
          <w:r>
            <w:instrText xml:space="preserve"> HYPERLINK \l _Toc16130 </w:instrText>
          </w:r>
          <w:r>
            <w:fldChar w:fldCharType="separate"/>
          </w:r>
          <w:r>
            <w:rPr>
              <w:rFonts w:hint="default" w:ascii="Times New Roman" w:hAnsi="Times New Roman" w:cs="Times New Roman"/>
              <w:kern w:val="0"/>
              <w:szCs w:val="24"/>
            </w:rPr>
            <w:t>9.2.</w:t>
          </w:r>
          <w:r>
            <w:rPr>
              <w:rFonts w:hint="default" w:ascii="Times New Roman" w:hAnsi="Times New Roman" w:cs="Times New Roman"/>
              <w:kern w:val="0"/>
              <w:szCs w:val="24"/>
              <w:lang w:val="en-US" w:eastAsia="zh-CN"/>
            </w:rPr>
            <w:t>4</w:t>
          </w:r>
          <w:r>
            <w:rPr>
              <w:rFonts w:hint="default" w:ascii="Times New Roman" w:hAnsi="Times New Roman" w:cs="Times New Roman"/>
              <w:kern w:val="0"/>
              <w:szCs w:val="24"/>
            </w:rPr>
            <w:t>与《医疗废物管理条例（2011年修订）》的符合性分析</w:t>
          </w:r>
          <w:r>
            <w:tab/>
          </w:r>
          <w:r>
            <w:fldChar w:fldCharType="begin"/>
          </w:r>
          <w:r>
            <w:instrText xml:space="preserve"> PAGEREF _Toc16130 \h </w:instrText>
          </w:r>
          <w:r>
            <w:fldChar w:fldCharType="separate"/>
          </w:r>
          <w:r>
            <w:t>254</w:t>
          </w:r>
          <w:r>
            <w:fldChar w:fldCharType="end"/>
          </w:r>
          <w:r>
            <w:fldChar w:fldCharType="end"/>
          </w:r>
        </w:p>
        <w:p>
          <w:pPr>
            <w:pStyle w:val="64"/>
            <w:tabs>
              <w:tab w:val="right" w:leader="dot" w:pos="8306"/>
            </w:tabs>
          </w:pPr>
          <w:r>
            <w:fldChar w:fldCharType="begin"/>
          </w:r>
          <w:r>
            <w:instrText xml:space="preserve"> HYPERLINK \l _Toc13762 </w:instrText>
          </w:r>
          <w:r>
            <w:fldChar w:fldCharType="separate"/>
          </w:r>
          <w:r>
            <w:rPr>
              <w:rFonts w:hint="default" w:ascii="Times New Roman" w:hAnsi="Times New Roman" w:cs="Times New Roman"/>
              <w:kern w:val="0"/>
              <w:szCs w:val="24"/>
            </w:rPr>
            <w:t>9.2.</w:t>
          </w:r>
          <w:r>
            <w:rPr>
              <w:rFonts w:hint="default" w:ascii="Times New Roman" w:hAnsi="Times New Roman" w:cs="Times New Roman"/>
              <w:kern w:val="0"/>
              <w:szCs w:val="24"/>
              <w:lang w:val="en-US" w:eastAsia="zh-CN"/>
            </w:rPr>
            <w:t>5</w:t>
          </w:r>
          <w:r>
            <w:rPr>
              <w:rFonts w:hint="default" w:ascii="Times New Roman" w:hAnsi="Times New Roman" w:cs="Times New Roman"/>
            </w:rPr>
            <w:t>《关于印发医疗机构废弃物综合治理工作方案的通知》国卫医发（2020）3号符合性分析</w:t>
          </w:r>
          <w:r>
            <w:tab/>
          </w:r>
          <w:r>
            <w:fldChar w:fldCharType="begin"/>
          </w:r>
          <w:r>
            <w:instrText xml:space="preserve"> PAGEREF _Toc13762 \h </w:instrText>
          </w:r>
          <w:r>
            <w:fldChar w:fldCharType="separate"/>
          </w:r>
          <w:r>
            <w:t>254</w:t>
          </w:r>
          <w:r>
            <w:fldChar w:fldCharType="end"/>
          </w:r>
          <w:r>
            <w:fldChar w:fldCharType="end"/>
          </w:r>
        </w:p>
        <w:p>
          <w:pPr>
            <w:pStyle w:val="64"/>
            <w:tabs>
              <w:tab w:val="right" w:leader="dot" w:pos="8306"/>
            </w:tabs>
          </w:pPr>
          <w:r>
            <w:fldChar w:fldCharType="begin"/>
          </w:r>
          <w:r>
            <w:instrText xml:space="preserve"> HYPERLINK \l _Toc3626 </w:instrText>
          </w:r>
          <w:r>
            <w:fldChar w:fldCharType="separate"/>
          </w:r>
          <w:r>
            <w:rPr>
              <w:rFonts w:hint="default" w:ascii="Times New Roman" w:hAnsi="Times New Roman" w:cs="Times New Roman"/>
              <w:kern w:val="0"/>
              <w:szCs w:val="24"/>
            </w:rPr>
            <w:t>9.2.</w:t>
          </w:r>
          <w:r>
            <w:rPr>
              <w:rFonts w:hint="default" w:ascii="Times New Roman" w:hAnsi="Times New Roman" w:cs="Times New Roman"/>
              <w:kern w:val="0"/>
              <w:szCs w:val="24"/>
              <w:lang w:val="en-US" w:eastAsia="zh-CN"/>
            </w:rPr>
            <w:t>6</w:t>
          </w:r>
          <w:r>
            <w:rPr>
              <w:rFonts w:hint="default" w:ascii="Times New Roman" w:hAnsi="Times New Roman" w:cs="Times New Roman"/>
              <w:kern w:val="0"/>
              <w:szCs w:val="24"/>
            </w:rPr>
            <w:t>与《内蒙古自治区“十四五”危险废物集中处置设施建设规划》符性分析</w:t>
          </w:r>
          <w:r>
            <w:tab/>
          </w:r>
          <w:r>
            <w:fldChar w:fldCharType="begin"/>
          </w:r>
          <w:r>
            <w:instrText xml:space="preserve"> PAGEREF _Toc3626 \h </w:instrText>
          </w:r>
          <w:r>
            <w:fldChar w:fldCharType="separate"/>
          </w:r>
          <w:r>
            <w:t>255</w:t>
          </w:r>
          <w:r>
            <w:fldChar w:fldCharType="end"/>
          </w:r>
          <w:r>
            <w:fldChar w:fldCharType="end"/>
          </w:r>
        </w:p>
        <w:p>
          <w:pPr>
            <w:pStyle w:val="63"/>
            <w:tabs>
              <w:tab w:val="right" w:leader="dot" w:pos="8306"/>
            </w:tabs>
          </w:pPr>
          <w:r>
            <w:fldChar w:fldCharType="begin"/>
          </w:r>
          <w:r>
            <w:instrText xml:space="preserve"> HYPERLINK \l _Toc5674 </w:instrText>
          </w:r>
          <w:r>
            <w:fldChar w:fldCharType="separate"/>
          </w:r>
          <w:r>
            <w:rPr>
              <w:rFonts w:hint="eastAsia" w:ascii="Times New Roman" w:hAnsi="Times New Roman" w:eastAsia="宋体"/>
              <w:szCs w:val="30"/>
            </w:rPr>
            <w:t>9.3选址合理性分析</w:t>
          </w:r>
          <w:r>
            <w:tab/>
          </w:r>
          <w:r>
            <w:fldChar w:fldCharType="begin"/>
          </w:r>
          <w:r>
            <w:instrText xml:space="preserve"> PAGEREF _Toc5674 \h </w:instrText>
          </w:r>
          <w:r>
            <w:fldChar w:fldCharType="separate"/>
          </w:r>
          <w:r>
            <w:t>255</w:t>
          </w:r>
          <w:r>
            <w:fldChar w:fldCharType="end"/>
          </w:r>
          <w:r>
            <w:fldChar w:fldCharType="end"/>
          </w:r>
        </w:p>
        <w:p>
          <w:pPr>
            <w:pStyle w:val="63"/>
            <w:tabs>
              <w:tab w:val="right" w:leader="dot" w:pos="8306"/>
            </w:tabs>
          </w:pPr>
          <w:r>
            <w:fldChar w:fldCharType="begin"/>
          </w:r>
          <w:r>
            <w:instrText xml:space="preserve"> HYPERLINK \l _Toc13554 </w:instrText>
          </w:r>
          <w:r>
            <w:fldChar w:fldCharType="separate"/>
          </w:r>
          <w:r>
            <w:rPr>
              <w:rFonts w:hint="eastAsia" w:ascii="Times New Roman" w:hAnsi="Times New Roman" w:eastAsia="宋体"/>
              <w:szCs w:val="30"/>
            </w:rPr>
            <w:t>9.4“三线一单”符合性</w:t>
          </w:r>
          <w:r>
            <w:rPr>
              <w:rFonts w:ascii="Times New Roman" w:hAnsi="Times New Roman" w:eastAsia="宋体"/>
              <w:szCs w:val="30"/>
            </w:rPr>
            <w:t>分析</w:t>
          </w:r>
          <w:r>
            <w:tab/>
          </w:r>
          <w:r>
            <w:fldChar w:fldCharType="begin"/>
          </w:r>
          <w:r>
            <w:instrText xml:space="preserve"> PAGEREF _Toc13554 \h </w:instrText>
          </w:r>
          <w:r>
            <w:fldChar w:fldCharType="separate"/>
          </w:r>
          <w:r>
            <w:t>255</w:t>
          </w:r>
          <w:r>
            <w:fldChar w:fldCharType="end"/>
          </w:r>
          <w:r>
            <w:fldChar w:fldCharType="end"/>
          </w:r>
        </w:p>
        <w:p>
          <w:pPr>
            <w:pStyle w:val="63"/>
            <w:tabs>
              <w:tab w:val="right" w:leader="dot" w:pos="8306"/>
            </w:tabs>
          </w:pPr>
          <w:r>
            <w:fldChar w:fldCharType="begin"/>
          </w:r>
          <w:r>
            <w:instrText xml:space="preserve"> HYPERLINK \l _Toc24028 </w:instrText>
          </w:r>
          <w:r>
            <w:fldChar w:fldCharType="separate"/>
          </w:r>
          <w:r>
            <w:rPr>
              <w:rFonts w:hint="eastAsia" w:ascii="Times New Roman" w:hAnsi="Times New Roman" w:eastAsia="宋体"/>
              <w:szCs w:val="30"/>
            </w:rPr>
            <w:t>9.5《</w:t>
          </w:r>
          <w:r>
            <w:rPr>
              <w:rFonts w:hint="eastAsia" w:ascii="Times New Roman" w:hAnsi="Times New Roman" w:eastAsia="宋体"/>
              <w:szCs w:val="30"/>
              <w:lang w:val="en-US" w:eastAsia="zh-CN"/>
            </w:rPr>
            <w:t>阿尔山市</w:t>
          </w:r>
          <w:r>
            <w:rPr>
              <w:rFonts w:hint="eastAsia" w:ascii="Times New Roman" w:hAnsi="Times New Roman" w:eastAsia="宋体"/>
              <w:szCs w:val="30"/>
            </w:rPr>
            <w:t>城市总体规划（201</w:t>
          </w:r>
          <w:r>
            <w:rPr>
              <w:rFonts w:hint="eastAsia" w:ascii="Times New Roman" w:hAnsi="Times New Roman" w:eastAsia="宋体"/>
              <w:szCs w:val="30"/>
              <w:lang w:val="en-US" w:eastAsia="zh-CN"/>
            </w:rPr>
            <w:t>2</w:t>
          </w:r>
          <w:r>
            <w:rPr>
              <w:rFonts w:hint="eastAsia" w:ascii="Times New Roman" w:hAnsi="Times New Roman" w:eastAsia="宋体"/>
              <w:szCs w:val="30"/>
            </w:rPr>
            <w:t>-2030）》符合性分析</w:t>
          </w:r>
          <w:r>
            <w:tab/>
          </w:r>
          <w:r>
            <w:fldChar w:fldCharType="begin"/>
          </w:r>
          <w:r>
            <w:instrText xml:space="preserve"> PAGEREF _Toc24028 \h </w:instrText>
          </w:r>
          <w:r>
            <w:fldChar w:fldCharType="separate"/>
          </w:r>
          <w:r>
            <w:t>256</w:t>
          </w:r>
          <w:r>
            <w:fldChar w:fldCharType="end"/>
          </w:r>
          <w:r>
            <w:fldChar w:fldCharType="end"/>
          </w:r>
        </w:p>
        <w:p>
          <w:pPr>
            <w:pStyle w:val="63"/>
            <w:tabs>
              <w:tab w:val="right" w:leader="dot" w:pos="8306"/>
            </w:tabs>
          </w:pPr>
          <w:r>
            <w:fldChar w:fldCharType="begin"/>
          </w:r>
          <w:r>
            <w:instrText xml:space="preserve"> HYPERLINK \l _Toc28300 </w:instrText>
          </w:r>
          <w:r>
            <w:fldChar w:fldCharType="separate"/>
          </w:r>
          <w:r>
            <w:rPr>
              <w:rFonts w:hint="eastAsia" w:ascii="Times New Roman" w:hAnsi="Times New Roman" w:eastAsia="宋体"/>
              <w:szCs w:val="30"/>
            </w:rPr>
            <w:t>9</w:t>
          </w:r>
          <w:r>
            <w:rPr>
              <w:rFonts w:ascii="Times New Roman" w:hAnsi="Times New Roman" w:eastAsia="宋体"/>
              <w:szCs w:val="30"/>
            </w:rPr>
            <w:t>.</w:t>
          </w:r>
          <w:r>
            <w:rPr>
              <w:rFonts w:hint="eastAsia" w:ascii="Times New Roman" w:hAnsi="Times New Roman" w:eastAsia="宋体"/>
              <w:szCs w:val="30"/>
            </w:rPr>
            <w:t>6环境质量现状评价结论</w:t>
          </w:r>
          <w:r>
            <w:tab/>
          </w:r>
          <w:r>
            <w:fldChar w:fldCharType="begin"/>
          </w:r>
          <w:r>
            <w:instrText xml:space="preserve"> PAGEREF _Toc28300 \h </w:instrText>
          </w:r>
          <w:r>
            <w:fldChar w:fldCharType="separate"/>
          </w:r>
          <w:r>
            <w:t>256</w:t>
          </w:r>
          <w:r>
            <w:fldChar w:fldCharType="end"/>
          </w:r>
          <w:r>
            <w:fldChar w:fldCharType="end"/>
          </w:r>
        </w:p>
        <w:p>
          <w:pPr>
            <w:pStyle w:val="64"/>
            <w:tabs>
              <w:tab w:val="right" w:leader="dot" w:pos="8306"/>
            </w:tabs>
          </w:pPr>
          <w:r>
            <w:fldChar w:fldCharType="begin"/>
          </w:r>
          <w:r>
            <w:instrText xml:space="preserve"> HYPERLINK \l _Toc18341 </w:instrText>
          </w:r>
          <w:r>
            <w:fldChar w:fldCharType="separate"/>
          </w:r>
          <w:r>
            <w:rPr>
              <w:rFonts w:hint="default" w:ascii="Times New Roman" w:hAnsi="Times New Roman" w:cs="Times New Roman"/>
              <w:kern w:val="0"/>
              <w:szCs w:val="24"/>
            </w:rPr>
            <w:t>9.6.1大气环境质量现状评价结论</w:t>
          </w:r>
          <w:r>
            <w:tab/>
          </w:r>
          <w:r>
            <w:fldChar w:fldCharType="begin"/>
          </w:r>
          <w:r>
            <w:instrText xml:space="preserve"> PAGEREF _Toc18341 \h </w:instrText>
          </w:r>
          <w:r>
            <w:fldChar w:fldCharType="separate"/>
          </w:r>
          <w:r>
            <w:t>256</w:t>
          </w:r>
          <w:r>
            <w:fldChar w:fldCharType="end"/>
          </w:r>
          <w:r>
            <w:fldChar w:fldCharType="end"/>
          </w:r>
        </w:p>
        <w:p>
          <w:pPr>
            <w:pStyle w:val="64"/>
            <w:tabs>
              <w:tab w:val="right" w:leader="dot" w:pos="8306"/>
            </w:tabs>
          </w:pPr>
          <w:r>
            <w:fldChar w:fldCharType="begin"/>
          </w:r>
          <w:r>
            <w:instrText xml:space="preserve"> HYPERLINK \l _Toc21133 </w:instrText>
          </w:r>
          <w:r>
            <w:fldChar w:fldCharType="separate"/>
          </w:r>
          <w:r>
            <w:rPr>
              <w:rFonts w:hint="default" w:ascii="Times New Roman" w:hAnsi="Times New Roman" w:cs="Times New Roman"/>
              <w:kern w:val="0"/>
              <w:szCs w:val="24"/>
            </w:rPr>
            <w:t>9.6.2水环境质量现状评价结论</w:t>
          </w:r>
          <w:r>
            <w:tab/>
          </w:r>
          <w:r>
            <w:fldChar w:fldCharType="begin"/>
          </w:r>
          <w:r>
            <w:instrText xml:space="preserve"> PAGEREF _Toc21133 \h </w:instrText>
          </w:r>
          <w:r>
            <w:fldChar w:fldCharType="separate"/>
          </w:r>
          <w:r>
            <w:t>256</w:t>
          </w:r>
          <w:r>
            <w:fldChar w:fldCharType="end"/>
          </w:r>
          <w:r>
            <w:fldChar w:fldCharType="end"/>
          </w:r>
        </w:p>
        <w:p>
          <w:pPr>
            <w:pStyle w:val="64"/>
            <w:tabs>
              <w:tab w:val="right" w:leader="dot" w:pos="8306"/>
            </w:tabs>
          </w:pPr>
          <w:r>
            <w:fldChar w:fldCharType="begin"/>
          </w:r>
          <w:r>
            <w:instrText xml:space="preserve"> HYPERLINK \l _Toc2096 </w:instrText>
          </w:r>
          <w:r>
            <w:fldChar w:fldCharType="separate"/>
          </w:r>
          <w:r>
            <w:rPr>
              <w:rFonts w:hint="default" w:ascii="Times New Roman" w:hAnsi="Times New Roman" w:cs="Times New Roman"/>
              <w:kern w:val="0"/>
              <w:szCs w:val="24"/>
            </w:rPr>
            <w:t>9.6.3声环境质量现状评价结论</w:t>
          </w:r>
          <w:r>
            <w:tab/>
          </w:r>
          <w:r>
            <w:fldChar w:fldCharType="begin"/>
          </w:r>
          <w:r>
            <w:instrText xml:space="preserve"> PAGEREF _Toc2096 \h </w:instrText>
          </w:r>
          <w:r>
            <w:fldChar w:fldCharType="separate"/>
          </w:r>
          <w:r>
            <w:t>256</w:t>
          </w:r>
          <w:r>
            <w:fldChar w:fldCharType="end"/>
          </w:r>
          <w:r>
            <w:fldChar w:fldCharType="end"/>
          </w:r>
        </w:p>
        <w:p>
          <w:pPr>
            <w:pStyle w:val="64"/>
            <w:tabs>
              <w:tab w:val="right" w:leader="dot" w:pos="8306"/>
            </w:tabs>
          </w:pPr>
          <w:r>
            <w:fldChar w:fldCharType="begin"/>
          </w:r>
          <w:r>
            <w:instrText xml:space="preserve"> HYPERLINK \l _Toc22882 </w:instrText>
          </w:r>
          <w:r>
            <w:fldChar w:fldCharType="separate"/>
          </w:r>
          <w:r>
            <w:rPr>
              <w:rFonts w:hint="default" w:ascii="Times New Roman" w:hAnsi="Times New Roman" w:cs="Times New Roman"/>
              <w:kern w:val="0"/>
              <w:szCs w:val="24"/>
            </w:rPr>
            <w:t>9.6.4土壤环境质量现状评价结论</w:t>
          </w:r>
          <w:r>
            <w:tab/>
          </w:r>
          <w:r>
            <w:fldChar w:fldCharType="begin"/>
          </w:r>
          <w:r>
            <w:instrText xml:space="preserve"> PAGEREF _Toc22882 \h </w:instrText>
          </w:r>
          <w:r>
            <w:fldChar w:fldCharType="separate"/>
          </w:r>
          <w:r>
            <w:t>256</w:t>
          </w:r>
          <w:r>
            <w:fldChar w:fldCharType="end"/>
          </w:r>
          <w:r>
            <w:fldChar w:fldCharType="end"/>
          </w:r>
        </w:p>
        <w:p>
          <w:pPr>
            <w:pStyle w:val="63"/>
            <w:tabs>
              <w:tab w:val="right" w:leader="dot" w:pos="8306"/>
            </w:tabs>
          </w:pPr>
          <w:r>
            <w:fldChar w:fldCharType="begin"/>
          </w:r>
          <w:r>
            <w:instrText xml:space="preserve"> HYPERLINK \l _Toc28645 </w:instrText>
          </w:r>
          <w:r>
            <w:fldChar w:fldCharType="separate"/>
          </w:r>
          <w:r>
            <w:rPr>
              <w:rFonts w:hint="eastAsia" w:ascii="Times New Roman" w:hAnsi="Times New Roman" w:eastAsia="宋体"/>
              <w:szCs w:val="30"/>
            </w:rPr>
            <w:t>9.7污染防治措施及环境影响分析</w:t>
          </w:r>
          <w:r>
            <w:tab/>
          </w:r>
          <w:r>
            <w:fldChar w:fldCharType="begin"/>
          </w:r>
          <w:r>
            <w:instrText xml:space="preserve"> PAGEREF _Toc28645 \h </w:instrText>
          </w:r>
          <w:r>
            <w:fldChar w:fldCharType="separate"/>
          </w:r>
          <w:r>
            <w:t>257</w:t>
          </w:r>
          <w:r>
            <w:fldChar w:fldCharType="end"/>
          </w:r>
          <w:r>
            <w:fldChar w:fldCharType="end"/>
          </w:r>
        </w:p>
        <w:p>
          <w:pPr>
            <w:pStyle w:val="64"/>
            <w:tabs>
              <w:tab w:val="right" w:leader="dot" w:pos="8306"/>
            </w:tabs>
          </w:pPr>
          <w:r>
            <w:fldChar w:fldCharType="begin"/>
          </w:r>
          <w:r>
            <w:instrText xml:space="preserve"> HYPERLINK \l _Toc11462 </w:instrText>
          </w:r>
          <w:r>
            <w:fldChar w:fldCharType="separate"/>
          </w:r>
          <w:r>
            <w:rPr>
              <w:rFonts w:hint="default" w:ascii="Times New Roman" w:hAnsi="Times New Roman" w:cs="Times New Roman"/>
              <w:kern w:val="0"/>
              <w:szCs w:val="24"/>
            </w:rPr>
            <w:t>9.7.1大气污染防治措施及其环境影响分析</w:t>
          </w:r>
          <w:r>
            <w:tab/>
          </w:r>
          <w:r>
            <w:fldChar w:fldCharType="begin"/>
          </w:r>
          <w:r>
            <w:instrText xml:space="preserve"> PAGEREF _Toc11462 \h </w:instrText>
          </w:r>
          <w:r>
            <w:fldChar w:fldCharType="separate"/>
          </w:r>
          <w:r>
            <w:t>257</w:t>
          </w:r>
          <w:r>
            <w:fldChar w:fldCharType="end"/>
          </w:r>
          <w:r>
            <w:fldChar w:fldCharType="end"/>
          </w:r>
        </w:p>
        <w:p>
          <w:pPr>
            <w:pStyle w:val="64"/>
            <w:tabs>
              <w:tab w:val="right" w:leader="dot" w:pos="8306"/>
            </w:tabs>
          </w:pPr>
          <w:r>
            <w:fldChar w:fldCharType="begin"/>
          </w:r>
          <w:r>
            <w:instrText xml:space="preserve"> HYPERLINK \l _Toc22744 </w:instrText>
          </w:r>
          <w:r>
            <w:fldChar w:fldCharType="separate"/>
          </w:r>
          <w:r>
            <w:rPr>
              <w:rFonts w:hint="default" w:ascii="Times New Roman" w:hAnsi="Times New Roman" w:cs="Times New Roman"/>
              <w:kern w:val="0"/>
              <w:szCs w:val="24"/>
            </w:rPr>
            <w:t>9.7.2水污染防治措施及环境影响分</w:t>
          </w:r>
          <w:r>
            <w:rPr>
              <w:rFonts w:hint="eastAsia"/>
              <w:kern w:val="0"/>
              <w:szCs w:val="24"/>
            </w:rPr>
            <w:t>析</w:t>
          </w:r>
          <w:r>
            <w:tab/>
          </w:r>
          <w:r>
            <w:fldChar w:fldCharType="begin"/>
          </w:r>
          <w:r>
            <w:instrText xml:space="preserve"> PAGEREF _Toc22744 \h </w:instrText>
          </w:r>
          <w:r>
            <w:fldChar w:fldCharType="separate"/>
          </w:r>
          <w:r>
            <w:t>257</w:t>
          </w:r>
          <w:r>
            <w:fldChar w:fldCharType="end"/>
          </w:r>
          <w:r>
            <w:fldChar w:fldCharType="end"/>
          </w:r>
        </w:p>
        <w:p>
          <w:pPr>
            <w:pStyle w:val="64"/>
            <w:tabs>
              <w:tab w:val="right" w:leader="dot" w:pos="8306"/>
            </w:tabs>
          </w:pPr>
          <w:r>
            <w:fldChar w:fldCharType="begin"/>
          </w:r>
          <w:r>
            <w:instrText xml:space="preserve"> HYPERLINK \l _Toc16557 </w:instrText>
          </w:r>
          <w:r>
            <w:fldChar w:fldCharType="separate"/>
          </w:r>
          <w:r>
            <w:rPr>
              <w:rFonts w:hint="default" w:ascii="Times New Roman" w:hAnsi="Times New Roman" w:cs="Times New Roman"/>
              <w:kern w:val="0"/>
              <w:szCs w:val="24"/>
            </w:rPr>
            <w:t>9.7.3噪声污染防治措施及环境影响分析</w:t>
          </w:r>
          <w:r>
            <w:tab/>
          </w:r>
          <w:r>
            <w:fldChar w:fldCharType="begin"/>
          </w:r>
          <w:r>
            <w:instrText xml:space="preserve"> PAGEREF _Toc16557 \h </w:instrText>
          </w:r>
          <w:r>
            <w:fldChar w:fldCharType="separate"/>
          </w:r>
          <w:r>
            <w:t>258</w:t>
          </w:r>
          <w:r>
            <w:fldChar w:fldCharType="end"/>
          </w:r>
          <w:r>
            <w:fldChar w:fldCharType="end"/>
          </w:r>
        </w:p>
        <w:p>
          <w:pPr>
            <w:pStyle w:val="64"/>
            <w:tabs>
              <w:tab w:val="right" w:leader="dot" w:pos="8306"/>
            </w:tabs>
          </w:pPr>
          <w:r>
            <w:fldChar w:fldCharType="begin"/>
          </w:r>
          <w:r>
            <w:instrText xml:space="preserve"> HYPERLINK \l _Toc18561 </w:instrText>
          </w:r>
          <w:r>
            <w:fldChar w:fldCharType="separate"/>
          </w:r>
          <w:r>
            <w:rPr>
              <w:rFonts w:hint="default" w:ascii="Times New Roman" w:hAnsi="Times New Roman" w:cs="Times New Roman"/>
              <w:kern w:val="0"/>
              <w:szCs w:val="24"/>
            </w:rPr>
            <w:t>9.7.4固体废物污染防治措施及环境影响分析</w:t>
          </w:r>
          <w:r>
            <w:tab/>
          </w:r>
          <w:r>
            <w:fldChar w:fldCharType="begin"/>
          </w:r>
          <w:r>
            <w:instrText xml:space="preserve"> PAGEREF _Toc18561 \h </w:instrText>
          </w:r>
          <w:r>
            <w:fldChar w:fldCharType="separate"/>
          </w:r>
          <w:r>
            <w:t>258</w:t>
          </w:r>
          <w:r>
            <w:fldChar w:fldCharType="end"/>
          </w:r>
          <w:r>
            <w:fldChar w:fldCharType="end"/>
          </w:r>
        </w:p>
        <w:p>
          <w:pPr>
            <w:pStyle w:val="64"/>
            <w:tabs>
              <w:tab w:val="right" w:leader="dot" w:pos="8306"/>
            </w:tabs>
          </w:pPr>
          <w:r>
            <w:fldChar w:fldCharType="begin"/>
          </w:r>
          <w:r>
            <w:instrText xml:space="preserve"> HYPERLINK \l _Toc10431 </w:instrText>
          </w:r>
          <w:r>
            <w:fldChar w:fldCharType="separate"/>
          </w:r>
          <w:r>
            <w:rPr>
              <w:rFonts w:hint="default" w:ascii="Times New Roman" w:hAnsi="Times New Roman" w:cs="Times New Roman"/>
              <w:kern w:val="0"/>
              <w:szCs w:val="24"/>
            </w:rPr>
            <w:t>9.7.5土壤环境污染防治措施及环境影响分析</w:t>
          </w:r>
          <w:r>
            <w:tab/>
          </w:r>
          <w:r>
            <w:fldChar w:fldCharType="begin"/>
          </w:r>
          <w:r>
            <w:instrText xml:space="preserve"> PAGEREF _Toc10431 \h </w:instrText>
          </w:r>
          <w:r>
            <w:fldChar w:fldCharType="separate"/>
          </w:r>
          <w:r>
            <w:t>258</w:t>
          </w:r>
          <w:r>
            <w:fldChar w:fldCharType="end"/>
          </w:r>
          <w:r>
            <w:fldChar w:fldCharType="end"/>
          </w:r>
        </w:p>
        <w:p>
          <w:pPr>
            <w:pStyle w:val="64"/>
            <w:tabs>
              <w:tab w:val="right" w:leader="dot" w:pos="8306"/>
            </w:tabs>
          </w:pPr>
          <w:r>
            <w:fldChar w:fldCharType="begin"/>
          </w:r>
          <w:r>
            <w:instrText xml:space="preserve"> HYPERLINK \l _Toc16324 </w:instrText>
          </w:r>
          <w:r>
            <w:fldChar w:fldCharType="separate"/>
          </w:r>
          <w:r>
            <w:rPr>
              <w:rFonts w:hint="default" w:ascii="Times New Roman" w:hAnsi="Times New Roman" w:cs="Times New Roman"/>
              <w:kern w:val="0"/>
              <w:szCs w:val="24"/>
            </w:rPr>
            <w:t>9.7.6生态环境防治措施及环境影响分析</w:t>
          </w:r>
          <w:r>
            <w:tab/>
          </w:r>
          <w:r>
            <w:fldChar w:fldCharType="begin"/>
          </w:r>
          <w:r>
            <w:instrText xml:space="preserve"> PAGEREF _Toc16324 \h </w:instrText>
          </w:r>
          <w:r>
            <w:fldChar w:fldCharType="separate"/>
          </w:r>
          <w:r>
            <w:t>259</w:t>
          </w:r>
          <w:r>
            <w:fldChar w:fldCharType="end"/>
          </w:r>
          <w:r>
            <w:fldChar w:fldCharType="end"/>
          </w:r>
        </w:p>
        <w:p>
          <w:pPr>
            <w:pStyle w:val="63"/>
            <w:tabs>
              <w:tab w:val="right" w:leader="dot" w:pos="8306"/>
            </w:tabs>
          </w:pPr>
          <w:r>
            <w:fldChar w:fldCharType="begin"/>
          </w:r>
          <w:r>
            <w:instrText xml:space="preserve"> HYPERLINK \l _Toc13991 </w:instrText>
          </w:r>
          <w:r>
            <w:fldChar w:fldCharType="separate"/>
          </w:r>
          <w:r>
            <w:rPr>
              <w:rFonts w:hint="eastAsia" w:ascii="Times New Roman" w:hAnsi="Times New Roman" w:eastAsia="宋体"/>
              <w:szCs w:val="30"/>
            </w:rPr>
            <w:t>9</w:t>
          </w:r>
          <w:r>
            <w:rPr>
              <w:rFonts w:ascii="Times New Roman" w:hAnsi="Times New Roman" w:eastAsia="宋体"/>
              <w:szCs w:val="30"/>
            </w:rPr>
            <w:t>.</w:t>
          </w:r>
          <w:r>
            <w:rPr>
              <w:rFonts w:hint="eastAsia" w:ascii="Times New Roman" w:hAnsi="Times New Roman" w:eastAsia="宋体"/>
              <w:szCs w:val="30"/>
            </w:rPr>
            <w:t>9环境经济损益分析</w:t>
          </w:r>
          <w:r>
            <w:tab/>
          </w:r>
          <w:r>
            <w:fldChar w:fldCharType="begin"/>
          </w:r>
          <w:r>
            <w:instrText xml:space="preserve"> PAGEREF _Toc13991 \h </w:instrText>
          </w:r>
          <w:r>
            <w:fldChar w:fldCharType="separate"/>
          </w:r>
          <w:r>
            <w:t>259</w:t>
          </w:r>
          <w:r>
            <w:fldChar w:fldCharType="end"/>
          </w:r>
          <w:r>
            <w:fldChar w:fldCharType="end"/>
          </w:r>
        </w:p>
        <w:p>
          <w:pPr>
            <w:pStyle w:val="63"/>
            <w:tabs>
              <w:tab w:val="right" w:leader="dot" w:pos="8306"/>
            </w:tabs>
          </w:pPr>
          <w:r>
            <w:fldChar w:fldCharType="begin"/>
          </w:r>
          <w:r>
            <w:instrText xml:space="preserve"> HYPERLINK \l _Toc13462 </w:instrText>
          </w:r>
          <w:r>
            <w:fldChar w:fldCharType="separate"/>
          </w:r>
          <w:r>
            <w:rPr>
              <w:rFonts w:hint="eastAsia" w:ascii="Times New Roman" w:hAnsi="Times New Roman" w:eastAsia="宋体"/>
              <w:szCs w:val="30"/>
            </w:rPr>
            <w:t>9.10总量控制</w:t>
          </w:r>
          <w:r>
            <w:tab/>
          </w:r>
          <w:r>
            <w:fldChar w:fldCharType="begin"/>
          </w:r>
          <w:r>
            <w:instrText xml:space="preserve"> PAGEREF _Toc13462 \h </w:instrText>
          </w:r>
          <w:r>
            <w:fldChar w:fldCharType="separate"/>
          </w:r>
          <w:r>
            <w:t>260</w:t>
          </w:r>
          <w:r>
            <w:fldChar w:fldCharType="end"/>
          </w:r>
          <w:r>
            <w:fldChar w:fldCharType="end"/>
          </w:r>
        </w:p>
        <w:p>
          <w:pPr>
            <w:pStyle w:val="63"/>
            <w:tabs>
              <w:tab w:val="right" w:leader="dot" w:pos="8306"/>
            </w:tabs>
          </w:pPr>
          <w:r>
            <w:fldChar w:fldCharType="begin"/>
          </w:r>
          <w:r>
            <w:instrText xml:space="preserve"> HYPERLINK \l _Toc4020 </w:instrText>
          </w:r>
          <w:r>
            <w:fldChar w:fldCharType="separate"/>
          </w:r>
          <w:r>
            <w:rPr>
              <w:rFonts w:hint="default" w:ascii="Times New Roman" w:hAnsi="Times New Roman" w:cs="Times New Roman"/>
              <w:bCs/>
              <w:szCs w:val="30"/>
            </w:rPr>
            <w:t>9.11公众参与</w:t>
          </w:r>
          <w:r>
            <w:tab/>
          </w:r>
          <w:r>
            <w:fldChar w:fldCharType="begin"/>
          </w:r>
          <w:r>
            <w:instrText xml:space="preserve"> PAGEREF _Toc4020 \h </w:instrText>
          </w:r>
          <w:r>
            <w:fldChar w:fldCharType="separate"/>
          </w:r>
          <w:r>
            <w:t>260</w:t>
          </w:r>
          <w:r>
            <w:fldChar w:fldCharType="end"/>
          </w:r>
          <w:r>
            <w:fldChar w:fldCharType="end"/>
          </w:r>
        </w:p>
        <w:p>
          <w:pPr>
            <w:pStyle w:val="63"/>
            <w:tabs>
              <w:tab w:val="right" w:leader="dot" w:pos="8306"/>
            </w:tabs>
          </w:pPr>
          <w:r>
            <w:fldChar w:fldCharType="begin"/>
          </w:r>
          <w:r>
            <w:instrText xml:space="preserve"> HYPERLINK \l _Toc18827 </w:instrText>
          </w:r>
          <w:r>
            <w:fldChar w:fldCharType="separate"/>
          </w:r>
          <w:r>
            <w:rPr>
              <w:rFonts w:hint="eastAsia" w:ascii="Times New Roman" w:hAnsi="Times New Roman" w:eastAsia="宋体"/>
              <w:szCs w:val="30"/>
            </w:rPr>
            <w:t>9.12综合评价结论</w:t>
          </w:r>
          <w:r>
            <w:tab/>
          </w:r>
          <w:r>
            <w:fldChar w:fldCharType="begin"/>
          </w:r>
          <w:r>
            <w:instrText xml:space="preserve"> PAGEREF _Toc18827 \h </w:instrText>
          </w:r>
          <w:r>
            <w:fldChar w:fldCharType="separate"/>
          </w:r>
          <w:r>
            <w:t>260</w:t>
          </w:r>
          <w:r>
            <w:fldChar w:fldCharType="end"/>
          </w:r>
          <w:r>
            <w:fldChar w:fldCharType="end"/>
          </w:r>
        </w:p>
        <w:p>
          <w:pPr>
            <w:pStyle w:val="62"/>
            <w:tabs>
              <w:tab w:val="right" w:leader="dot" w:pos="8306"/>
            </w:tabs>
          </w:pPr>
          <w:r>
            <w:fldChar w:fldCharType="begin"/>
          </w:r>
          <w:r>
            <w:instrText xml:space="preserve"> HYPERLINK \l _Toc7327 </w:instrText>
          </w:r>
          <w:r>
            <w:fldChar w:fldCharType="separate"/>
          </w:r>
          <w:r>
            <w:rPr>
              <w:rFonts w:hint="eastAsia"/>
              <w:szCs w:val="28"/>
              <w:lang w:val="en-US" w:eastAsia="zh-CN"/>
            </w:rPr>
            <w:t>附件1 可行性研究报告批复</w:t>
          </w:r>
          <w:r>
            <w:tab/>
          </w:r>
          <w:r>
            <w:fldChar w:fldCharType="begin"/>
          </w:r>
          <w:r>
            <w:instrText xml:space="preserve"> PAGEREF _Toc7327 \h </w:instrText>
          </w:r>
          <w:r>
            <w:fldChar w:fldCharType="separate"/>
          </w:r>
          <w:r>
            <w:t>261</w:t>
          </w:r>
          <w:r>
            <w:fldChar w:fldCharType="end"/>
          </w:r>
          <w:r>
            <w:fldChar w:fldCharType="end"/>
          </w:r>
        </w:p>
        <w:p>
          <w:pPr>
            <w:pStyle w:val="62"/>
            <w:tabs>
              <w:tab w:val="right" w:leader="dot" w:pos="8306"/>
            </w:tabs>
          </w:pPr>
          <w:r>
            <w:fldChar w:fldCharType="begin"/>
          </w:r>
          <w:r>
            <w:instrText xml:space="preserve"> HYPERLINK \l _Toc15117 </w:instrText>
          </w:r>
          <w:r>
            <w:fldChar w:fldCharType="separate"/>
          </w:r>
          <w:r>
            <w:rPr>
              <w:rFonts w:hint="eastAsia"/>
              <w:szCs w:val="28"/>
              <w:lang w:val="en-US" w:eastAsia="zh-CN"/>
            </w:rPr>
            <w:t>附件2 建设单位营业执照</w:t>
          </w:r>
          <w:r>
            <w:tab/>
          </w:r>
          <w:r>
            <w:fldChar w:fldCharType="begin"/>
          </w:r>
          <w:r>
            <w:instrText xml:space="preserve"> PAGEREF _Toc15117 \h </w:instrText>
          </w:r>
          <w:r>
            <w:fldChar w:fldCharType="separate"/>
          </w:r>
          <w:r>
            <w:t>263</w:t>
          </w:r>
          <w:r>
            <w:fldChar w:fldCharType="end"/>
          </w:r>
          <w:r>
            <w:fldChar w:fldCharType="end"/>
          </w:r>
        </w:p>
        <w:p>
          <w:pPr>
            <w:pStyle w:val="62"/>
            <w:tabs>
              <w:tab w:val="right" w:leader="dot" w:pos="8306"/>
            </w:tabs>
          </w:pPr>
          <w:r>
            <w:fldChar w:fldCharType="begin"/>
          </w:r>
          <w:r>
            <w:instrText xml:space="preserve"> HYPERLINK \l _Toc3191 </w:instrText>
          </w:r>
          <w:r>
            <w:fldChar w:fldCharType="separate"/>
          </w:r>
          <w:r>
            <w:rPr>
              <w:rFonts w:hint="eastAsia"/>
              <w:szCs w:val="28"/>
              <w:lang w:val="en-US" w:eastAsia="zh-CN"/>
            </w:rPr>
            <w:t>附件3 阿尔山市生活垃圾处理工程验收文件</w:t>
          </w:r>
          <w:r>
            <w:tab/>
          </w:r>
          <w:r>
            <w:fldChar w:fldCharType="begin"/>
          </w:r>
          <w:r>
            <w:instrText xml:space="preserve"> PAGEREF _Toc3191 \h </w:instrText>
          </w:r>
          <w:r>
            <w:fldChar w:fldCharType="separate"/>
          </w:r>
          <w:r>
            <w:t>264</w:t>
          </w:r>
          <w:r>
            <w:fldChar w:fldCharType="end"/>
          </w:r>
          <w:r>
            <w:fldChar w:fldCharType="end"/>
          </w:r>
        </w:p>
        <w:p>
          <w:pPr>
            <w:pStyle w:val="62"/>
            <w:tabs>
              <w:tab w:val="right" w:leader="dot" w:pos="8306"/>
            </w:tabs>
          </w:pPr>
          <w:r>
            <w:fldChar w:fldCharType="begin"/>
          </w:r>
          <w:r>
            <w:instrText xml:space="preserve"> HYPERLINK \l _Toc30476 </w:instrText>
          </w:r>
          <w:r>
            <w:fldChar w:fldCharType="separate"/>
          </w:r>
          <w:r>
            <w:rPr>
              <w:rFonts w:hint="eastAsia"/>
              <w:bCs/>
              <w:lang w:val="en-US" w:eastAsia="zh-CN"/>
            </w:rPr>
            <w:t>附件4 检测报告</w:t>
          </w:r>
          <w:r>
            <w:tab/>
          </w:r>
          <w:r>
            <w:fldChar w:fldCharType="begin"/>
          </w:r>
          <w:r>
            <w:instrText xml:space="preserve"> PAGEREF _Toc30476 \h </w:instrText>
          </w:r>
          <w:r>
            <w:fldChar w:fldCharType="separate"/>
          </w:r>
          <w:r>
            <w:t>266</w:t>
          </w:r>
          <w:r>
            <w:fldChar w:fldCharType="end"/>
          </w:r>
          <w:r>
            <w:fldChar w:fldCharType="end"/>
          </w:r>
        </w:p>
        <w:p>
          <w:r>
            <w:fldChar w:fldCharType="end"/>
          </w:r>
        </w:p>
      </w:sdtContent>
    </w:sdt>
    <w:p>
      <w:pPr>
        <w:jc w:val="center"/>
        <w:outlineLvl w:val="0"/>
        <w:rPr>
          <w:rFonts w:hint="default" w:ascii="Times New Roman" w:hAnsi="Times New Roman" w:eastAsia="黑体" w:cs="Times New Roman"/>
          <w:sz w:val="36"/>
          <w:szCs w:val="36"/>
          <w:lang w:val="en-US" w:eastAsia="zh-CN"/>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bookmarkStart w:id="0" w:name="_Toc7356"/>
    </w:p>
    <w:p>
      <w:pPr>
        <w:jc w:val="center"/>
        <w:outlineLvl w:val="0"/>
        <w:rPr>
          <w:rFonts w:hint="default" w:ascii="Times New Roman" w:hAnsi="Times New Roman" w:eastAsia="黑体" w:cs="Times New Roman"/>
          <w:sz w:val="36"/>
          <w:szCs w:val="36"/>
          <w:lang w:val="en-US" w:eastAsia="zh-CN"/>
        </w:rPr>
      </w:pPr>
      <w:r>
        <w:rPr>
          <w:rFonts w:hint="default" w:ascii="Times New Roman" w:hAnsi="Times New Roman" w:eastAsia="黑体" w:cs="Times New Roman"/>
          <w:sz w:val="36"/>
          <w:szCs w:val="36"/>
          <w:lang w:val="en-US" w:eastAsia="zh-CN"/>
        </w:rPr>
        <w:t>概述</w:t>
      </w:r>
      <w:bookmarkEnd w:id="0"/>
    </w:p>
    <w:p>
      <w:pPr>
        <w:numPr>
          <w:ilvl w:val="0"/>
          <w:numId w:val="1"/>
        </w:numPr>
        <w:spacing w:line="360" w:lineRule="auto"/>
        <w:jc w:val="both"/>
        <w:outlineLvl w:val="1"/>
        <w:rPr>
          <w:rFonts w:hint="default" w:ascii="Times New Roman" w:hAnsi="Times New Roman" w:eastAsia="宋体" w:cs="Times New Roman"/>
          <w:b/>
          <w:bCs/>
          <w:sz w:val="24"/>
          <w:szCs w:val="24"/>
          <w:lang w:val="en-US" w:eastAsia="zh-CN"/>
        </w:rPr>
      </w:pPr>
      <w:bookmarkStart w:id="1" w:name="_Toc19221"/>
      <w:r>
        <w:rPr>
          <w:rFonts w:hint="default" w:ascii="Times New Roman" w:hAnsi="Times New Roman" w:eastAsia="宋体" w:cs="Times New Roman"/>
          <w:b/>
          <w:bCs/>
          <w:sz w:val="24"/>
          <w:szCs w:val="24"/>
          <w:lang w:val="en-US" w:eastAsia="zh-CN"/>
        </w:rPr>
        <w:t>项目由来及特点</w:t>
      </w:r>
      <w:bookmarkEnd w:id="1"/>
    </w:p>
    <w:p>
      <w:pPr>
        <w:pStyle w:val="8"/>
        <w:spacing w:before="91" w:line="360" w:lineRule="auto"/>
        <w:ind w:left="39" w:firstLine="579"/>
        <w:rPr>
          <w:rFonts w:hint="default" w:ascii="Times New Roman" w:hAnsi="Times New Roman" w:eastAsia="宋体" w:cs="Times New Roman"/>
          <w:spacing w:val="-17"/>
          <w:sz w:val="24"/>
          <w:szCs w:val="24"/>
        </w:rPr>
      </w:pPr>
      <w:r>
        <w:rPr>
          <w:rFonts w:hint="default" w:ascii="Times New Roman" w:hAnsi="Times New Roman" w:eastAsia="宋体" w:cs="Times New Roman"/>
          <w:sz w:val="24"/>
          <w:szCs w:val="24"/>
          <w:lang w:val="en-US" w:eastAsia="zh-CN"/>
        </w:rPr>
        <w:t>根据兴安盟生态环境局阿尔山市分局2022年统计结果得知，当前阿尔山</w:t>
      </w:r>
      <w:r>
        <w:rPr>
          <w:rFonts w:hint="default" w:ascii="Times New Roman" w:hAnsi="Times New Roman" w:eastAsia="宋体" w:cs="Times New Roman"/>
          <w:spacing w:val="-8"/>
          <w:sz w:val="24"/>
          <w:szCs w:val="24"/>
        </w:rPr>
        <w:t>每日产出</w:t>
      </w:r>
      <w:r>
        <w:rPr>
          <w:rFonts w:hint="default" w:ascii="Times New Roman" w:hAnsi="Times New Roman" w:eastAsia="宋体" w:cs="Times New Roman"/>
          <w:spacing w:val="-9"/>
          <w:sz w:val="24"/>
          <w:szCs w:val="24"/>
        </w:rPr>
        <w:t>医疗废物约</w:t>
      </w:r>
      <w:r>
        <w:rPr>
          <w:rFonts w:hint="default" w:ascii="Times New Roman" w:hAnsi="Times New Roman" w:eastAsia="宋体" w:cs="Times New Roman"/>
          <w:spacing w:val="-44"/>
          <w:sz w:val="24"/>
          <w:szCs w:val="24"/>
        </w:rPr>
        <w:t xml:space="preserve"> </w:t>
      </w:r>
      <w:r>
        <w:rPr>
          <w:rFonts w:hint="default" w:ascii="Times New Roman" w:hAnsi="Times New Roman" w:eastAsia="宋体" w:cs="Times New Roman"/>
          <w:spacing w:val="-9"/>
          <w:sz w:val="24"/>
          <w:szCs w:val="24"/>
        </w:rPr>
        <w:t>0.8t，年产生量为</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9"/>
          <w:sz w:val="24"/>
          <w:szCs w:val="24"/>
        </w:rPr>
        <w:t>292t，当前处置医疗废物方式为：</w:t>
      </w:r>
      <w:r>
        <w:rPr>
          <w:rFonts w:hint="default" w:ascii="Times New Roman" w:hAnsi="Times New Roman" w:eastAsia="宋体" w:cs="Times New Roman"/>
          <w:spacing w:val="-45"/>
          <w:sz w:val="24"/>
          <w:szCs w:val="24"/>
        </w:rPr>
        <w:t xml:space="preserve"> </w:t>
      </w:r>
      <w:r>
        <w:rPr>
          <w:rFonts w:hint="default" w:ascii="Times New Roman" w:hAnsi="Times New Roman" w:eastAsia="宋体" w:cs="Times New Roman"/>
          <w:spacing w:val="-9"/>
          <w:sz w:val="24"/>
          <w:szCs w:val="24"/>
        </w:rPr>
        <w:t>政府购买第三方处</w:t>
      </w:r>
      <w:r>
        <w:rPr>
          <w:rFonts w:hint="default" w:ascii="Times New Roman" w:hAnsi="Times New Roman" w:eastAsia="宋体" w:cs="Times New Roman"/>
          <w:spacing w:val="-10"/>
          <w:sz w:val="24"/>
          <w:szCs w:val="24"/>
        </w:rPr>
        <w:t>置，</w:t>
      </w:r>
      <w:r>
        <w:rPr>
          <w:rFonts w:hint="default" w:ascii="Times New Roman" w:hAnsi="Times New Roman" w:eastAsia="宋体" w:cs="Times New Roman"/>
          <w:spacing w:val="1"/>
          <w:sz w:val="24"/>
          <w:szCs w:val="24"/>
        </w:rPr>
        <w:t>兴安盟奇峰医疗废物处置有限责任公司距离阿尔山市运距280公里</w:t>
      </w:r>
      <w:r>
        <w:rPr>
          <w:rFonts w:hint="default" w:ascii="Times New Roman" w:hAnsi="Times New Roman" w:eastAsia="宋体" w:cs="Times New Roman"/>
          <w:spacing w:val="-10"/>
          <w:sz w:val="24"/>
          <w:szCs w:val="24"/>
        </w:rPr>
        <w:t>左右，运距较长，且阿尔山市因当地特殊的气候原因，一年中有</w:t>
      </w:r>
      <w:r>
        <w:rPr>
          <w:rFonts w:hint="default" w:ascii="Times New Roman" w:hAnsi="Times New Roman" w:eastAsia="宋体" w:cs="Times New Roman"/>
          <w:spacing w:val="-44"/>
          <w:sz w:val="24"/>
          <w:szCs w:val="24"/>
        </w:rPr>
        <w:t xml:space="preserve"> </w:t>
      </w:r>
      <w:r>
        <w:rPr>
          <w:rFonts w:hint="default" w:ascii="Times New Roman" w:hAnsi="Times New Roman" w:eastAsia="宋体" w:cs="Times New Roman"/>
          <w:spacing w:val="-10"/>
          <w:sz w:val="24"/>
          <w:szCs w:val="24"/>
        </w:rPr>
        <w:t>70%</w:t>
      </w:r>
      <w:r>
        <w:rPr>
          <w:rFonts w:hint="default" w:ascii="Times New Roman" w:hAnsi="Times New Roman" w:eastAsia="宋体" w:cs="Times New Roman"/>
          <w:spacing w:val="-7"/>
          <w:sz w:val="24"/>
          <w:szCs w:val="24"/>
        </w:rPr>
        <w:t>的时间处于冰雪覆盖时期，道路结冰，以</w:t>
      </w:r>
      <w:r>
        <w:rPr>
          <w:rFonts w:hint="default" w:ascii="Times New Roman" w:hAnsi="Times New Roman" w:eastAsia="宋体" w:cs="Times New Roman"/>
          <w:spacing w:val="-8"/>
          <w:sz w:val="24"/>
          <w:szCs w:val="24"/>
        </w:rPr>
        <w:t>至于当前购置的1t医疗废</w:t>
      </w:r>
      <w:r>
        <w:rPr>
          <w:rFonts w:hint="default" w:ascii="Times New Roman" w:hAnsi="Times New Roman" w:eastAsia="宋体" w:cs="Times New Roman"/>
          <w:spacing w:val="-4"/>
          <w:sz w:val="24"/>
          <w:szCs w:val="24"/>
        </w:rPr>
        <w:t>物应急处置车在低温状态下运行困难，无法保障重大疫情下医疗废物</w:t>
      </w:r>
      <w:r>
        <w:rPr>
          <w:rFonts w:hint="default" w:ascii="Times New Roman" w:hAnsi="Times New Roman" w:eastAsia="宋体" w:cs="Times New Roman"/>
          <w:spacing w:val="-17"/>
          <w:sz w:val="24"/>
          <w:szCs w:val="24"/>
        </w:rPr>
        <w:t>的处置。</w:t>
      </w:r>
    </w:p>
    <w:p>
      <w:pPr>
        <w:pStyle w:val="8"/>
        <w:spacing w:before="91" w:line="360" w:lineRule="auto"/>
        <w:ind w:left="39" w:firstLine="579"/>
        <w:rPr>
          <w:rFonts w:hint="default" w:ascii="Times New Roman" w:hAnsi="Times New Roman" w:eastAsia="宋体" w:cs="Times New Roman"/>
          <w:spacing w:val="-7"/>
          <w:sz w:val="24"/>
          <w:szCs w:val="24"/>
          <w:lang w:val="en-US" w:eastAsia="zh-CN"/>
        </w:rPr>
      </w:pPr>
      <w:r>
        <w:rPr>
          <w:rFonts w:hint="default" w:ascii="Times New Roman" w:hAnsi="Times New Roman" w:eastAsia="宋体" w:cs="Times New Roman"/>
          <w:spacing w:val="-4"/>
          <w:sz w:val="24"/>
          <w:szCs w:val="24"/>
        </w:rPr>
        <w:t>为了预防重大疫情及重大事件的发生，对医疗废物的实际处</w:t>
      </w:r>
      <w:r>
        <w:rPr>
          <w:rFonts w:hint="default" w:ascii="Times New Roman" w:hAnsi="Times New Roman" w:eastAsia="宋体" w:cs="Times New Roman"/>
          <w:spacing w:val="-5"/>
          <w:sz w:val="24"/>
          <w:szCs w:val="24"/>
        </w:rPr>
        <w:t>置量</w:t>
      </w:r>
      <w:r>
        <w:rPr>
          <w:rFonts w:hint="default" w:ascii="Times New Roman" w:hAnsi="Times New Roman" w:eastAsia="宋体" w:cs="Times New Roman"/>
          <w:spacing w:val="-11"/>
          <w:sz w:val="24"/>
          <w:szCs w:val="24"/>
        </w:rPr>
        <w:t>将逐年增加需求， 且随着时间的推移和社会人口结</w:t>
      </w:r>
      <w:r>
        <w:rPr>
          <w:rFonts w:hint="default" w:ascii="Times New Roman" w:hAnsi="Times New Roman" w:eastAsia="宋体" w:cs="Times New Roman"/>
          <w:spacing w:val="-12"/>
          <w:sz w:val="24"/>
          <w:szCs w:val="24"/>
        </w:rPr>
        <w:t>构的变化，</w:t>
      </w:r>
      <w:r>
        <w:rPr>
          <w:rFonts w:hint="default" w:ascii="Times New Roman" w:hAnsi="Times New Roman" w:eastAsia="宋体" w:cs="Times New Roman"/>
          <w:spacing w:val="-36"/>
          <w:sz w:val="24"/>
          <w:szCs w:val="24"/>
        </w:rPr>
        <w:t xml:space="preserve"> </w:t>
      </w:r>
      <w:r>
        <w:rPr>
          <w:rFonts w:hint="default" w:ascii="Times New Roman" w:hAnsi="Times New Roman" w:eastAsia="宋体" w:cs="Times New Roman"/>
          <w:spacing w:val="-12"/>
          <w:sz w:val="24"/>
          <w:szCs w:val="24"/>
        </w:rPr>
        <w:t>对医疗</w:t>
      </w:r>
      <w:r>
        <w:rPr>
          <w:rFonts w:hint="default" w:ascii="Times New Roman" w:hAnsi="Times New Roman" w:eastAsia="宋体" w:cs="Times New Roman"/>
          <w:spacing w:val="-1"/>
          <w:sz w:val="24"/>
          <w:szCs w:val="24"/>
        </w:rPr>
        <w:t>废物处置的需求将进一步增大，同时阿尔山口岸近年来也逐步开放，</w:t>
      </w:r>
      <w:r>
        <w:rPr>
          <w:rFonts w:hint="default" w:ascii="Times New Roman" w:hAnsi="Times New Roman" w:eastAsia="宋体" w:cs="Times New Roman"/>
          <w:spacing w:val="-4"/>
          <w:sz w:val="24"/>
          <w:szCs w:val="24"/>
        </w:rPr>
        <w:t>进出口大量货物，伴随着进出口大量货物进出口的同时产生的大量医</w:t>
      </w:r>
      <w:r>
        <w:rPr>
          <w:rFonts w:hint="default" w:ascii="Times New Roman" w:hAnsi="Times New Roman" w:eastAsia="宋体" w:cs="Times New Roman"/>
          <w:spacing w:val="-6"/>
          <w:sz w:val="24"/>
          <w:szCs w:val="24"/>
        </w:rPr>
        <w:t>疗废物也迫切地需要一个能独立处置的地点</w:t>
      </w:r>
      <w:r>
        <w:rPr>
          <w:rFonts w:hint="default" w:ascii="Times New Roman" w:hAnsi="Times New Roman" w:eastAsia="宋体" w:cs="Times New Roman"/>
          <w:spacing w:val="-7"/>
          <w:sz w:val="24"/>
          <w:szCs w:val="24"/>
        </w:rPr>
        <w:t>，</w:t>
      </w:r>
      <w:r>
        <w:rPr>
          <w:rFonts w:hint="default" w:ascii="Times New Roman" w:hAnsi="Times New Roman" w:eastAsia="宋体" w:cs="Times New Roman"/>
          <w:spacing w:val="-55"/>
          <w:sz w:val="24"/>
          <w:szCs w:val="24"/>
        </w:rPr>
        <w:t xml:space="preserve"> </w:t>
      </w:r>
      <w:r>
        <w:rPr>
          <w:rFonts w:hint="default" w:ascii="Times New Roman" w:hAnsi="Times New Roman" w:eastAsia="宋体" w:cs="Times New Roman"/>
          <w:spacing w:val="-7"/>
          <w:sz w:val="24"/>
          <w:szCs w:val="24"/>
        </w:rPr>
        <w:t>而阿尔山市现有的设施</w:t>
      </w:r>
      <w:r>
        <w:rPr>
          <w:rFonts w:hint="default" w:ascii="Times New Roman" w:hAnsi="Times New Roman" w:eastAsia="宋体" w:cs="Times New Roman"/>
          <w:spacing w:val="-7"/>
          <w:sz w:val="24"/>
          <w:szCs w:val="24"/>
          <w:lang w:val="en-US" w:eastAsia="zh-CN"/>
        </w:rPr>
        <w:t>不能满足上述医疗废物销毁的实际需要，需要增加专门的、独立的处置中心进行医疗废物进行处置，以满足废物增长的需求，因此兴安盟阿尔山市人民政府委托兴安盟生态环境局阿尔山市分局于阿尔山市生活垃圾卫生填埋场西北侧建设“阿尔山市医疗废物处置中心建设项目”（以下简称本项目）。本项目总投资920万，占地面积204</w:t>
      </w:r>
      <w:r>
        <w:rPr>
          <w:rFonts w:hint="eastAsia" w:ascii="Times New Roman" w:hAnsi="Times New Roman" w:eastAsia="宋体" w:cs="Times New Roman"/>
          <w:spacing w:val="-7"/>
          <w:sz w:val="24"/>
          <w:szCs w:val="24"/>
          <w:lang w:val="en-US" w:eastAsia="zh-CN"/>
        </w:rPr>
        <w:t>5</w:t>
      </w:r>
      <w:r>
        <w:rPr>
          <w:rFonts w:hint="default" w:ascii="Times New Roman" w:hAnsi="Times New Roman" w:eastAsia="宋体" w:cs="Times New Roman"/>
          <w:spacing w:val="-7"/>
          <w:sz w:val="24"/>
          <w:szCs w:val="24"/>
          <w:lang w:val="en-US" w:eastAsia="zh-CN"/>
        </w:rPr>
        <w:t>m</w:t>
      </w:r>
      <w:r>
        <w:rPr>
          <w:rFonts w:hint="default" w:ascii="Times New Roman" w:hAnsi="Times New Roman" w:eastAsia="宋体" w:cs="Times New Roman"/>
          <w:spacing w:val="-7"/>
          <w:sz w:val="24"/>
          <w:szCs w:val="24"/>
          <w:vertAlign w:val="superscript"/>
          <w:lang w:val="en-US" w:eastAsia="zh-CN"/>
        </w:rPr>
        <w:t>2</w:t>
      </w:r>
      <w:r>
        <w:rPr>
          <w:rFonts w:hint="default" w:ascii="Times New Roman" w:hAnsi="Times New Roman" w:eastAsia="宋体" w:cs="Times New Roman"/>
          <w:spacing w:val="-7"/>
          <w:sz w:val="24"/>
          <w:szCs w:val="24"/>
          <w:lang w:val="en-US" w:eastAsia="zh-CN"/>
        </w:rPr>
        <w:t>，所占的地块为国有建设用地。本项目服务范围覆盖阿尔山市全部地区，收集阿尔山市全境医疗废物。</w:t>
      </w:r>
    </w:p>
    <w:p>
      <w:pPr>
        <w:pStyle w:val="8"/>
        <w:spacing w:before="91"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年处理医疗废物500吨，购置高温蒸汽处置设备2台。其中1#设备处理能力为1吨/天，年运行天数为360天，用于日常医疗废物处置；2#设备处理能力为5吨/天，用于重大疫情或口岸产生大量医疗垃圾时启用，年运行天数以28天计。</w:t>
      </w:r>
    </w:p>
    <w:p>
      <w:pPr>
        <w:pStyle w:val="8"/>
        <w:numPr>
          <w:ilvl w:val="0"/>
          <w:numId w:val="1"/>
        </w:numPr>
        <w:spacing w:before="91" w:line="360" w:lineRule="auto"/>
        <w:ind w:left="0" w:leftChars="0" w:firstLine="0" w:firstLineChars="0"/>
        <w:outlineLvl w:val="1"/>
        <w:rPr>
          <w:rFonts w:hint="default" w:ascii="Times New Roman" w:hAnsi="Times New Roman" w:eastAsia="宋体" w:cs="Times New Roman"/>
          <w:b/>
          <w:bCs/>
          <w:sz w:val="24"/>
          <w:szCs w:val="24"/>
          <w:lang w:val="en-US" w:eastAsia="zh-CN"/>
        </w:rPr>
      </w:pPr>
      <w:bookmarkStart w:id="2" w:name="_Toc25118"/>
      <w:r>
        <w:rPr>
          <w:rFonts w:hint="default" w:ascii="Times New Roman" w:hAnsi="Times New Roman" w:eastAsia="宋体" w:cs="Times New Roman"/>
          <w:b/>
          <w:bCs/>
          <w:sz w:val="24"/>
          <w:szCs w:val="24"/>
          <w:lang w:val="en-US" w:eastAsia="zh-CN"/>
        </w:rPr>
        <w:t>环境影响评价的工作程序</w:t>
      </w:r>
      <w:bookmarkEnd w:id="2"/>
    </w:p>
    <w:p>
      <w:pPr>
        <w:pStyle w:val="8"/>
        <w:numPr>
          <w:ilvl w:val="0"/>
          <w:numId w:val="0"/>
        </w:numPr>
        <w:spacing w:before="91" w:line="360" w:lineRule="auto"/>
        <w:ind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根据《建设项目环境影响评价分类管理名录》（2021年版），</w:t>
      </w:r>
      <w:r>
        <w:rPr>
          <w:rFonts w:hint="default" w:ascii="Times New Roman" w:hAnsi="Times New Roman" w:eastAsia="宋体" w:cs="Times New Roman"/>
          <w:sz w:val="24"/>
          <w:szCs w:val="24"/>
          <w:lang w:val="zh-CN" w:eastAsia="zh-CN"/>
        </w:rPr>
        <w:t>本项目</w:t>
      </w:r>
      <w:r>
        <w:rPr>
          <w:rFonts w:hint="default" w:ascii="Times New Roman" w:hAnsi="Times New Roman" w:eastAsia="宋体" w:cs="Times New Roman"/>
          <w:sz w:val="24"/>
          <w:szCs w:val="24"/>
          <w:lang w:val="en-US" w:eastAsia="zh-CN"/>
        </w:rPr>
        <w:t>属于“四十七、生态保护和环境治理业--102医疗废物处置、病死及病害动物无害化处理--医疗废物集中处置（单纯收集、贮存的除外），应编制环境影响评价报告书。兴安盟生态环境局阿尔山市分局委托内蒙古利元环保科技有限公司承担了项目的环境影响评价工作，接受委托后，我公司严格按照国家有关法规及内蒙古自治区生态环境部门的要求，工程技术人员认真研究该项目的有关文件，并进行实地踏勘和调研，收集和核实了有关材料，根据相关工程资料，在现场调查、预测计算分析等环节工作的基础上，编制完成了本项目环境影响报告书。</w:t>
      </w:r>
    </w:p>
    <w:p>
      <w:pPr>
        <w:pStyle w:val="8"/>
        <w:numPr>
          <w:ilvl w:val="0"/>
          <w:numId w:val="0"/>
        </w:numPr>
        <w:spacing w:before="91" w:line="360" w:lineRule="auto"/>
        <w:ind w:leftChars="0" w:firstLine="480" w:firstLineChars="200"/>
        <w:rPr>
          <w:rFonts w:hint="default" w:ascii="Times New Roman" w:hAnsi="Times New Roman" w:eastAsia="宋体" w:cs="Times New Roman"/>
          <w:sz w:val="24"/>
          <w:szCs w:val="24"/>
          <w:lang w:val="en-US" w:eastAsia="zh-CN"/>
        </w:rPr>
      </w:pPr>
    </w:p>
    <w:p>
      <w:pPr>
        <w:pStyle w:val="8"/>
        <w:numPr>
          <w:ilvl w:val="0"/>
          <w:numId w:val="0"/>
        </w:numPr>
        <w:spacing w:before="91"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建设项目环境影响评价工作程序见图1。</w:t>
      </w:r>
    </w:p>
    <w:p>
      <w:pPr>
        <w:pStyle w:val="8"/>
        <w:numPr>
          <w:ilvl w:val="0"/>
          <w:numId w:val="0"/>
        </w:numPr>
        <w:spacing w:before="91" w:line="360" w:lineRule="auto"/>
        <w:ind w:firstLine="560" w:firstLineChars="200"/>
        <w:rPr>
          <w:rFonts w:hint="default" w:ascii="Times New Roman" w:hAnsi="Times New Roman" w:cs="Times New Roman"/>
        </w:rPr>
      </w:pPr>
      <w:r>
        <w:rPr>
          <w:rFonts w:hint="default" w:ascii="Times New Roman" w:hAnsi="Times New Roman" w:cs="Times New Roman"/>
        </w:rPr>
        <w:object>
          <v:shape id="_x0000_i1025" o:spt="75" type="#_x0000_t75" style="height:459.1pt;width:369.5pt;" o:ole="t" filled="f" o:preferrelative="t" stroked="f" coordsize="21600,21600">
            <v:path/>
            <v:fill on="f" focussize="0,0"/>
            <v:stroke on="f"/>
            <v:imagedata r:id="rId9" o:title=""/>
            <o:lock v:ext="edit" aspectratio="t"/>
            <w10:wrap type="none"/>
            <w10:anchorlock/>
          </v:shape>
          <o:OLEObject Type="Embed" ProgID="Visio.Drawing.11" ShapeID="_x0000_i1025" DrawAspect="Content" ObjectID="_1468075725" r:id="rId8">
            <o:LockedField>false</o:LockedField>
          </o:OLEObject>
        </w:object>
      </w:r>
    </w:p>
    <w:p>
      <w:pPr>
        <w:pStyle w:val="8"/>
        <w:numPr>
          <w:ilvl w:val="0"/>
          <w:numId w:val="0"/>
        </w:numPr>
        <w:spacing w:before="91" w:line="360" w:lineRule="auto"/>
        <w:ind w:firstLine="482" w:firstLineChars="200"/>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图1 本项目环境影响评价工作程序</w:t>
      </w:r>
    </w:p>
    <w:p>
      <w:pPr>
        <w:pStyle w:val="8"/>
        <w:numPr>
          <w:ilvl w:val="0"/>
          <w:numId w:val="1"/>
        </w:numPr>
        <w:spacing w:before="91" w:line="360" w:lineRule="auto"/>
        <w:ind w:left="0" w:leftChars="0" w:firstLine="0" w:firstLineChars="0"/>
        <w:jc w:val="both"/>
        <w:outlineLvl w:val="1"/>
        <w:rPr>
          <w:rFonts w:hint="default" w:ascii="Times New Roman" w:hAnsi="Times New Roman" w:eastAsia="宋体" w:cs="Times New Roman"/>
          <w:b/>
          <w:bCs/>
          <w:sz w:val="24"/>
          <w:szCs w:val="24"/>
          <w:lang w:val="en-US" w:eastAsia="zh-CN"/>
        </w:rPr>
      </w:pPr>
      <w:bookmarkStart w:id="3" w:name="_Toc16440"/>
      <w:r>
        <w:rPr>
          <w:rFonts w:hint="default" w:ascii="Times New Roman" w:hAnsi="Times New Roman" w:eastAsia="宋体" w:cs="Times New Roman"/>
          <w:b/>
          <w:bCs/>
          <w:sz w:val="24"/>
          <w:szCs w:val="24"/>
          <w:lang w:val="en-US" w:eastAsia="zh-CN"/>
        </w:rPr>
        <w:t>分析判定相关情况</w:t>
      </w:r>
      <w:bookmarkEnd w:id="3"/>
    </w:p>
    <w:p>
      <w:pPr>
        <w:pStyle w:val="8"/>
        <w:widowControl w:val="0"/>
        <w:numPr>
          <w:ilvl w:val="1"/>
          <w:numId w:val="1"/>
        </w:numPr>
        <w:spacing w:before="91" w:line="360" w:lineRule="auto"/>
        <w:jc w:val="both"/>
        <w:outlineLvl w:val="2"/>
        <w:rPr>
          <w:rFonts w:hint="default" w:ascii="Times New Roman" w:hAnsi="Times New Roman" w:eastAsia="宋体" w:cs="Times New Roman"/>
          <w:b/>
          <w:bCs/>
          <w:sz w:val="24"/>
          <w:szCs w:val="24"/>
          <w:lang w:val="en-US" w:eastAsia="zh-CN"/>
        </w:rPr>
      </w:pPr>
      <w:bookmarkStart w:id="4" w:name="_Toc24571"/>
      <w:r>
        <w:rPr>
          <w:rFonts w:hint="default" w:ascii="Times New Roman" w:hAnsi="Times New Roman" w:eastAsia="宋体" w:cs="Times New Roman"/>
          <w:b/>
          <w:bCs/>
          <w:sz w:val="24"/>
          <w:szCs w:val="24"/>
          <w:lang w:val="en-US" w:eastAsia="zh-CN"/>
        </w:rPr>
        <w:t>产业政策符合性分析</w:t>
      </w:r>
      <w:bookmarkEnd w:id="4"/>
    </w:p>
    <w:p>
      <w:pPr>
        <w:pStyle w:val="8"/>
        <w:numPr>
          <w:ilvl w:val="0"/>
          <w:numId w:val="0"/>
        </w:numPr>
        <w:spacing w:before="91" w:line="377" w:lineRule="auto"/>
        <w:ind w:firstLine="480" w:firstLineChars="200"/>
        <w:rPr>
          <w:rFonts w:hint="default"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w:t>
      </w:r>
    </w:p>
    <w:p>
      <w:pPr>
        <w:pStyle w:val="8"/>
        <w:numPr>
          <w:ilvl w:val="0"/>
          <w:numId w:val="0"/>
        </w:numPr>
        <w:spacing w:before="91" w:line="377"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highlight w:val="none"/>
        </w:rPr>
        <w:t>综上，本项目满足</w:t>
      </w:r>
      <w:r>
        <w:rPr>
          <w:rFonts w:hint="eastAsia" w:ascii="Times New Roman" w:hAnsi="Times New Roman" w:eastAsia="宋体" w:cs="Times New Roman"/>
          <w:sz w:val="24"/>
          <w:highlight w:val="none"/>
          <w:lang w:val="en-US" w:eastAsia="zh-CN"/>
        </w:rPr>
        <w:t>生态保护红线、环境质量底线、资源利用上线、生态环境准入清单中相关</w:t>
      </w:r>
      <w:r>
        <w:rPr>
          <w:rFonts w:hint="default" w:ascii="Times New Roman" w:hAnsi="Times New Roman" w:eastAsia="宋体" w:cs="Times New Roman"/>
          <w:sz w:val="24"/>
          <w:highlight w:val="none"/>
        </w:rPr>
        <w:t>要求</w:t>
      </w:r>
      <w:r>
        <w:rPr>
          <w:rFonts w:hint="default" w:ascii="Times New Roman" w:hAnsi="Times New Roman" w:eastAsia="宋体" w:cs="Times New Roman"/>
          <w:sz w:val="24"/>
        </w:rPr>
        <w:t>。</w:t>
      </w:r>
    </w:p>
    <w:p>
      <w:pPr>
        <w:numPr>
          <w:ilvl w:val="0"/>
          <w:numId w:val="0"/>
        </w:numPr>
        <w:adjustRightInd w:val="0"/>
        <w:snapToGrid w:val="0"/>
        <w:spacing w:line="360" w:lineRule="auto"/>
        <w:jc w:val="both"/>
        <w:outlineLvl w:val="1"/>
        <w:rPr>
          <w:rFonts w:hint="default" w:ascii="Times New Roman" w:hAnsi="Times New Roman" w:eastAsia="宋体" w:cs="Times New Roman"/>
          <w:b/>
          <w:bCs/>
          <w:sz w:val="24"/>
          <w:szCs w:val="24"/>
          <w:lang w:val="en-US" w:eastAsia="zh-CN"/>
        </w:rPr>
      </w:pPr>
      <w:bookmarkStart w:id="5" w:name="_Toc32086"/>
      <w:r>
        <w:rPr>
          <w:rFonts w:hint="eastAsia" w:ascii="Times New Roman" w:hAnsi="Times New Roman" w:eastAsia="宋体" w:cs="Times New Roman"/>
          <w:b/>
          <w:bCs/>
          <w:sz w:val="24"/>
          <w:szCs w:val="24"/>
          <w:lang w:val="en-US" w:eastAsia="zh-CN"/>
        </w:rPr>
        <w:t>***********</w:t>
      </w:r>
    </w:p>
    <w:p>
      <w:pPr>
        <w:numPr>
          <w:ilvl w:val="0"/>
          <w:numId w:val="0"/>
        </w:numPr>
        <w:adjustRightInd w:val="0"/>
        <w:snapToGrid w:val="0"/>
        <w:spacing w:line="360" w:lineRule="auto"/>
        <w:jc w:val="both"/>
        <w:outlineLvl w:val="1"/>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 环境影响评价报告书的主要结论</w:t>
      </w:r>
      <w:bookmarkEnd w:id="5"/>
    </w:p>
    <w:p>
      <w:pPr>
        <w:numPr>
          <w:ilvl w:val="0"/>
          <w:numId w:val="0"/>
        </w:numPr>
        <w:adjustRightInd w:val="0"/>
        <w:snapToGrid w:val="0"/>
        <w:spacing w:line="360" w:lineRule="auto"/>
        <w:ind w:firstLine="480" w:firstLineChars="200"/>
        <w:jc w:val="both"/>
        <w:rPr>
          <w:rFonts w:hint="default" w:ascii="Times New Roman" w:hAnsi="Times New Roman" w:cs="Times New Roman"/>
          <w:bCs/>
          <w:sz w:val="24"/>
        </w:rPr>
      </w:pPr>
      <w:r>
        <w:rPr>
          <w:rFonts w:hint="default" w:ascii="Times New Roman" w:hAnsi="Times New Roman" w:cs="Times New Roman"/>
          <w:sz w:val="24"/>
          <w:lang w:val="en-US" w:eastAsia="zh-CN"/>
        </w:rPr>
        <w:t>阿尔山市</w:t>
      </w:r>
      <w:r>
        <w:rPr>
          <w:rFonts w:hint="default" w:ascii="Times New Roman" w:hAnsi="Times New Roman" w:cs="Times New Roman"/>
          <w:sz w:val="24"/>
        </w:rPr>
        <w:t>医疗</w:t>
      </w:r>
      <w:r>
        <w:rPr>
          <w:rFonts w:hint="default" w:ascii="Times New Roman" w:hAnsi="Times New Roman" w:cs="Times New Roman"/>
          <w:sz w:val="24"/>
          <w:lang w:val="en-US" w:eastAsia="zh-CN"/>
        </w:rPr>
        <w:t>废物处置</w:t>
      </w:r>
      <w:r>
        <w:rPr>
          <w:rFonts w:hint="default" w:ascii="Times New Roman" w:hAnsi="Times New Roman" w:cs="Times New Roman"/>
          <w:sz w:val="24"/>
        </w:rPr>
        <w:t>中心建设项目</w:t>
      </w:r>
      <w:r>
        <w:rPr>
          <w:rFonts w:hint="default" w:ascii="Times New Roman" w:hAnsi="Times New Roman" w:cs="Times New Roman"/>
          <w:bCs/>
          <w:sz w:val="24"/>
        </w:rPr>
        <w:t>符合国家产业政策，选址合理；项目固废得到合理处置，在各项污染防治措施落实后，本项目废气、废水、噪声各项污染物均能实现达标排放，不会降低区域功能类别，并能满足总量控制要求，社会效益、经济效益、环境效益较好；项目建设满足国家关于“环境质量底线、资源消耗上限、生态保护红线和生态环境准入清单”相关要求；</w:t>
      </w:r>
      <w:r>
        <w:rPr>
          <w:rFonts w:hint="eastAsia" w:ascii="Times New Roman" w:hAnsi="Times New Roman" w:cs="Times New Roman"/>
          <w:bCs/>
          <w:sz w:val="24"/>
          <w:highlight w:val="none"/>
          <w:lang w:val="en-US" w:eastAsia="zh-CN"/>
        </w:rPr>
        <w:t>公众参与调查显示公众同意本项目的建设，未出现反对意见</w:t>
      </w:r>
      <w:r>
        <w:rPr>
          <w:rFonts w:hint="default" w:ascii="Times New Roman" w:hAnsi="Times New Roman" w:cs="Times New Roman"/>
          <w:bCs/>
          <w:sz w:val="24"/>
          <w:highlight w:val="none"/>
        </w:rPr>
        <w:t>；因此在项目严格执</w:t>
      </w:r>
      <w:r>
        <w:rPr>
          <w:rFonts w:hint="default" w:ascii="Times New Roman" w:hAnsi="Times New Roman" w:cs="Times New Roman"/>
          <w:bCs/>
          <w:sz w:val="24"/>
        </w:rPr>
        <w:t>行相关规范、严格管理，严格执行“三同时”制度，并强化环境管理及后期跟踪监测的前提下，本项目所产生的不利环境影响将可以被减缓到最小。评价认为从环境保护的角度分析，本项目建设可行。</w:t>
      </w:r>
    </w:p>
    <w:p>
      <w:pPr>
        <w:numPr>
          <w:ilvl w:val="0"/>
          <w:numId w:val="0"/>
        </w:numPr>
        <w:adjustRightInd w:val="0"/>
        <w:snapToGrid w:val="0"/>
        <w:spacing w:line="360" w:lineRule="auto"/>
        <w:jc w:val="both"/>
        <w:rPr>
          <w:rFonts w:hint="default" w:ascii="Times New Roman" w:hAnsi="Times New Roman" w:cs="Times New Roman" w:eastAsia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4"/>
        <w:numPr>
          <w:ilvl w:val="0"/>
          <w:numId w:val="2"/>
        </w:numPr>
        <w:bidi w:val="0"/>
        <w:jc w:val="center"/>
        <w:rPr>
          <w:rFonts w:hint="default" w:ascii="Times New Roman" w:hAnsi="Times New Roman" w:cs="Times New Roman"/>
          <w:lang w:val="en-US" w:eastAsia="zh-CN"/>
        </w:rPr>
      </w:pPr>
      <w:bookmarkStart w:id="6" w:name="_Toc25690"/>
      <w:r>
        <w:rPr>
          <w:rFonts w:hint="default" w:ascii="Times New Roman" w:hAnsi="Times New Roman" w:cs="Times New Roman"/>
          <w:lang w:val="en-US" w:eastAsia="zh-CN"/>
        </w:rPr>
        <w:t>总则</w:t>
      </w:r>
      <w:bookmarkEnd w:id="6"/>
    </w:p>
    <w:p>
      <w:pPr>
        <w:pStyle w:val="5"/>
        <w:bidi w:val="0"/>
        <w:rPr>
          <w:rFonts w:hint="default" w:ascii="Times New Roman" w:hAnsi="Times New Roman" w:cs="Times New Roman"/>
        </w:rPr>
      </w:pPr>
      <w:bookmarkStart w:id="7" w:name="_Toc426048301"/>
      <w:bookmarkStart w:id="8" w:name="_Toc25616"/>
      <w:bookmarkStart w:id="9" w:name="_Toc392663538"/>
      <w:bookmarkStart w:id="10" w:name="_Toc351726807"/>
      <w:bookmarkStart w:id="11" w:name="_Toc343776418"/>
      <w:bookmarkStart w:id="12" w:name="_Toc351727174"/>
      <w:bookmarkStart w:id="13" w:name="_Toc385615729"/>
      <w:bookmarkStart w:id="14" w:name="_Toc292553141"/>
      <w:bookmarkStart w:id="15" w:name="_Toc333053064"/>
      <w:bookmarkStart w:id="16" w:name="_Toc439257682"/>
      <w:bookmarkStart w:id="17" w:name="_Toc11584"/>
      <w:r>
        <w:rPr>
          <w:rFonts w:hint="default" w:ascii="Times New Roman" w:hAnsi="Times New Roman" w:cs="Times New Roman"/>
        </w:rPr>
        <w:t>1.1编制依据</w:t>
      </w:r>
      <w:bookmarkEnd w:id="7"/>
      <w:bookmarkEnd w:id="8"/>
      <w:bookmarkEnd w:id="9"/>
      <w:bookmarkEnd w:id="10"/>
      <w:bookmarkEnd w:id="11"/>
      <w:bookmarkEnd w:id="12"/>
      <w:bookmarkEnd w:id="13"/>
      <w:bookmarkEnd w:id="14"/>
      <w:bookmarkEnd w:id="15"/>
      <w:bookmarkEnd w:id="16"/>
      <w:bookmarkEnd w:id="17"/>
    </w:p>
    <w:p>
      <w:pPr>
        <w:pStyle w:val="6"/>
        <w:bidi w:val="0"/>
        <w:rPr>
          <w:rFonts w:hint="default" w:ascii="Times New Roman" w:hAnsi="Times New Roman" w:cs="Times New Roman"/>
        </w:rPr>
      </w:pPr>
      <w:bookmarkStart w:id="18" w:name="_Toc439257683"/>
      <w:bookmarkStart w:id="19" w:name="_Toc29792"/>
      <w:bookmarkStart w:id="20" w:name="_Toc359"/>
      <w:r>
        <w:rPr>
          <w:rFonts w:hint="default" w:ascii="Times New Roman" w:hAnsi="Times New Roman" w:cs="Times New Roman"/>
        </w:rPr>
        <w:t>1.1.1</w:t>
      </w:r>
      <w:bookmarkEnd w:id="18"/>
      <w:r>
        <w:rPr>
          <w:rFonts w:hint="default" w:ascii="Times New Roman" w:hAnsi="Times New Roman" w:cs="Times New Roman"/>
        </w:rPr>
        <w:t>国家法律法规</w:t>
      </w:r>
      <w:bookmarkEnd w:id="19"/>
      <w:bookmarkEnd w:id="20"/>
    </w:p>
    <w:p>
      <w:pPr>
        <w:widowControl/>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（1）《中华人民共和国环境保护法（修订）》，2015年1月1日起施行；</w:t>
      </w:r>
    </w:p>
    <w:p>
      <w:pPr>
        <w:widowControl/>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（2）《中华人民共和国环境影响评价法（修订）》，2018年12月29日起施行；</w:t>
      </w:r>
    </w:p>
    <w:p>
      <w:pPr>
        <w:widowControl/>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（3）《中华人民共和国大气污染防治法（修订）》，2018年10月26日起施行；</w:t>
      </w:r>
    </w:p>
    <w:p>
      <w:pPr>
        <w:widowControl/>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（4）《中华人民共和国水污染防治法（修订）》，2018年1月1日起施行；</w:t>
      </w:r>
    </w:p>
    <w:p>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sz w:val="24"/>
          <w:szCs w:val="24"/>
        </w:rPr>
        <w:t>（5）《中华人民共和</w:t>
      </w:r>
      <w:r>
        <w:rPr>
          <w:rFonts w:hint="default" w:ascii="Times New Roman" w:hAnsi="Times New Roman" w:eastAsia="宋体" w:cs="Times New Roman"/>
          <w:color w:val="auto"/>
          <w:sz w:val="24"/>
          <w:szCs w:val="24"/>
        </w:rPr>
        <w:t>国固体废物污染环境防治法》，2020年9月1日起施行；</w:t>
      </w:r>
    </w:p>
    <w:p>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（6）《中华人民共和国噪声污染防治法》，</w:t>
      </w:r>
      <w:r>
        <w:rPr>
          <w:rFonts w:hint="default"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日起施行；</w:t>
      </w:r>
    </w:p>
    <w:p>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（7）《中华人民共和国土壤污染防治法》，2019年1月1日起施行；</w:t>
      </w:r>
    </w:p>
    <w:p>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（8）《中华人民共和国循环经济促进法》，2018年10月26日</w:t>
      </w:r>
      <w:r>
        <w:rPr>
          <w:rFonts w:hint="default" w:ascii="Times New Roman" w:hAnsi="Times New Roman" w:eastAsia="宋体" w:cs="Times New Roman"/>
          <w:sz w:val="24"/>
          <w:szCs w:val="24"/>
        </w:rPr>
        <w:t>修订并施行；</w:t>
      </w:r>
    </w:p>
    <w:p>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（9）《地下水管理条例》，中华人民共和国国务院令第748号，2021年12月1日起施行；</w:t>
      </w:r>
    </w:p>
    <w:p>
      <w:pPr>
        <w:widowControl/>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（10）</w:t>
      </w:r>
      <w:r>
        <w:rPr>
          <w:rFonts w:hint="default" w:ascii="Times New Roman" w:hAnsi="Times New Roman" w:eastAsia="宋体" w:cs="Times New Roman"/>
          <w:kern w:val="0"/>
          <w:sz w:val="24"/>
          <w:szCs w:val="24"/>
        </w:rPr>
        <w:t>《产业结构调整指导目录（</w:t>
      </w:r>
      <w:r>
        <w:rPr>
          <w:rFonts w:hint="eastAsia" w:ascii="Times New Roman" w:hAnsi="Times New Roman" w:eastAsia="宋体" w:cs="Times New Roman"/>
          <w:kern w:val="0"/>
          <w:sz w:val="24"/>
          <w:szCs w:val="24"/>
          <w:lang w:val="en-US" w:eastAsia="zh-CN"/>
        </w:rPr>
        <w:t>2024年本</w:t>
      </w:r>
      <w:r>
        <w:rPr>
          <w:rFonts w:hint="default"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4</w:t>
      </w:r>
      <w:r>
        <w:rPr>
          <w:rFonts w:hint="default"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月</w:t>
      </w:r>
      <w:r>
        <w:rPr>
          <w:rFonts w:hint="eastAsia" w:ascii="Times New Roman" w:hAnsi="Times New Roman" w:eastAsia="宋体" w:cs="Times New Roman"/>
          <w:kern w:val="0"/>
          <w:sz w:val="24"/>
          <w:szCs w:val="24"/>
          <w:lang w:val="en-US" w:eastAsia="zh-CN"/>
        </w:rPr>
        <w:t>1</w:t>
      </w:r>
      <w:r>
        <w:rPr>
          <w:rFonts w:hint="default" w:ascii="Times New Roman" w:hAnsi="Times New Roman" w:eastAsia="宋体" w:cs="Times New Roman"/>
          <w:kern w:val="0"/>
          <w:sz w:val="24"/>
          <w:szCs w:val="24"/>
        </w:rPr>
        <w:t>日起发布施行</w:t>
      </w:r>
      <w:r>
        <w:rPr>
          <w:rFonts w:hint="default" w:ascii="Times New Roman" w:hAnsi="Times New Roman" w:eastAsia="宋体" w:cs="Times New Roman"/>
          <w:color w:val="000000"/>
          <w:sz w:val="24"/>
          <w:szCs w:val="24"/>
        </w:rPr>
        <w:t>；</w:t>
      </w:r>
    </w:p>
    <w:p>
      <w:pPr>
        <w:widowControl/>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（11）《建设项目环境影响评价分类管理名录》（2021年版）》，部令第16号，2020年11月30日；</w:t>
      </w:r>
    </w:p>
    <w:p>
      <w:pPr>
        <w:widowControl/>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（12）《建设项目环境保护管理条例》（2017年修改），中华人民共和国国务院令第682号，2017年10月1日起施行；</w:t>
      </w:r>
    </w:p>
    <w:p>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（13）《关于进一步加强环境影响评价管理防范环境风险的通知》，环发〔2012〕77号，2012年</w:t>
      </w:r>
      <w:r>
        <w:rPr>
          <w:rFonts w:hint="default" w:ascii="Times New Roman" w:hAnsi="Times New Roman" w:eastAsia="宋体" w:cs="Times New Roman"/>
          <w:sz w:val="24"/>
          <w:szCs w:val="24"/>
        </w:rPr>
        <w:t>7月3日；</w:t>
      </w:r>
    </w:p>
    <w:p>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（14）《关于进一步加强危险废物和医疗废物监管工作的意见》环发（2011）19号，2011年2月16日；</w:t>
      </w:r>
    </w:p>
    <w:p>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（15）《医疗卫生机构医疗废物管理办法》，卫生部令第36号，2003年10月15日；</w:t>
      </w:r>
    </w:p>
    <w:p>
      <w:pPr>
        <w:widowControl/>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（16）《关于切实加强风险防范严格环境</w:t>
      </w:r>
      <w:r>
        <w:rPr>
          <w:rFonts w:hint="default" w:ascii="Times New Roman" w:hAnsi="Times New Roman" w:eastAsia="宋体" w:cs="Times New Roman"/>
          <w:color w:val="000000"/>
          <w:sz w:val="24"/>
          <w:szCs w:val="24"/>
        </w:rPr>
        <w:t>影响评价管理的通知》，环发〔2012〕98号，2012年8月8日；</w:t>
      </w:r>
    </w:p>
    <w:p>
      <w:pPr>
        <w:widowControl/>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（17）《中共中央国务院关于全面加强生态环境保护坚决打好污染防治攻坚战的意见》，2018年6月16日；</w:t>
      </w:r>
    </w:p>
    <w:p>
      <w:pPr>
        <w:widowControl/>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（18）《国务院关于印发水污染防治行动计划的通知》，国发〔2015〕17号，2015年4月2日；</w:t>
      </w:r>
    </w:p>
    <w:p>
      <w:pPr>
        <w:widowControl/>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（19）《国务院关于印发土壤污染防治行动计划的通知》，国发〔2016〕31号，2016年5月28日；</w:t>
      </w:r>
    </w:p>
    <w:p>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（20）《环境影响评价公众参与办法》，生态环境部令第4号，2019年1月1日起施行。</w:t>
      </w:r>
    </w:p>
    <w:p>
      <w:pPr>
        <w:pStyle w:val="6"/>
        <w:bidi w:val="0"/>
        <w:rPr>
          <w:rFonts w:hint="default" w:ascii="Times New Roman" w:hAnsi="Times New Roman" w:cs="Times New Roman"/>
        </w:rPr>
      </w:pPr>
      <w:bookmarkStart w:id="21" w:name="_Toc439257684"/>
      <w:bookmarkStart w:id="22" w:name="_Toc19540"/>
      <w:bookmarkStart w:id="23" w:name="_Toc15961"/>
      <w:r>
        <w:rPr>
          <w:rFonts w:hint="default" w:ascii="Times New Roman" w:hAnsi="Times New Roman" w:cs="Times New Roman"/>
        </w:rPr>
        <w:t>1.1.2</w:t>
      </w:r>
      <w:bookmarkEnd w:id="21"/>
      <w:r>
        <w:rPr>
          <w:rFonts w:hint="default" w:ascii="Times New Roman" w:hAnsi="Times New Roman" w:cs="Times New Roman"/>
        </w:rPr>
        <w:t>地方性法规及规范性文件</w:t>
      </w:r>
      <w:bookmarkEnd w:id="22"/>
      <w:bookmarkEnd w:id="23"/>
    </w:p>
    <w:p>
      <w:pPr>
        <w:widowControl/>
        <w:spacing w:line="360" w:lineRule="auto"/>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（1）《内蒙古自治区环境保护条例》，2018年12月6日修正；</w:t>
      </w:r>
    </w:p>
    <w:p>
      <w:pPr>
        <w:widowControl/>
        <w:spacing w:line="360" w:lineRule="auto"/>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（2）《内蒙古自治区人民政府关于印发自治区国家重点生态功能区产业准入负面清单（试行）的通知》，内政发〔2018〕11号；</w:t>
      </w:r>
    </w:p>
    <w:p>
      <w:pPr>
        <w:widowControl/>
        <w:spacing w:line="360" w:lineRule="auto"/>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（3）《内蒙古自治区关于全面加强生态环境保护坚决打好污染防治攻坚战的实施意见》，2018年8月22日；</w:t>
      </w:r>
    </w:p>
    <w:p>
      <w:pPr>
        <w:widowControl/>
        <w:spacing w:line="360" w:lineRule="auto"/>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（4）《内蒙古自治区大气污染防治条例》，2019年3月1日起施行；</w:t>
      </w:r>
    </w:p>
    <w:p>
      <w:pPr>
        <w:widowControl/>
        <w:spacing w:line="360" w:lineRule="auto"/>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（5）《内蒙古自治区主体功能区规划的通知》，内政发〔2012〕85号；</w:t>
      </w:r>
    </w:p>
    <w:p>
      <w:pPr>
        <w:widowControl/>
        <w:spacing w:line="360" w:lineRule="auto"/>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（6）《内蒙古自治区人民政府关于自治区主体功能区规划的实施意见》，内政发〔2015〕18号；</w:t>
      </w:r>
    </w:p>
    <w:p>
      <w:pPr>
        <w:widowControl/>
        <w:spacing w:line="360" w:lineRule="auto"/>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（7）《内蒙古自治区水污染防治条例》，2020年1月1日起施行；</w:t>
      </w:r>
    </w:p>
    <w:p>
      <w:pPr>
        <w:widowControl/>
        <w:spacing w:line="360" w:lineRule="auto"/>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（8）《内蒙古自治区土壤污染防治条例》，2021年1月1日起施行；</w:t>
      </w:r>
    </w:p>
    <w:p>
      <w:pPr>
        <w:widowControl/>
        <w:spacing w:line="360" w:lineRule="auto"/>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（9）《内蒙古自治区人民政府关于水污染防治行动计划的实施意见》，内政发〔2015〕119号；</w:t>
      </w:r>
    </w:p>
    <w:p>
      <w:pPr>
        <w:widowControl/>
        <w:spacing w:line="360" w:lineRule="auto"/>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（10）《内蒙古自治区人民政府关于贯彻落实土壤污染防治行动计划的实施意见》，内政发〔2016〕127号；</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w:t>
      </w:r>
      <w:r>
        <w:rPr>
          <w:rFonts w:hint="default" w:ascii="Times New Roman" w:hAnsi="Times New Roman" w:eastAsia="宋体" w:cs="Times New Roman"/>
          <w:sz w:val="24"/>
          <w:szCs w:val="24"/>
        </w:rPr>
        <w:t>11）《内蒙古自治区“十四五”生态环境保护规划》，内政办发〔2021〕51号；</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（12）《内蒙古自治区“十四五”危险废物集中处置设施建设规划》；</w:t>
      </w:r>
    </w:p>
    <w:p>
      <w:pPr>
        <w:adjustRightInd w:val="0"/>
        <w:snapToGrid w:val="0"/>
        <w:spacing w:line="360" w:lineRule="auto"/>
        <w:ind w:firstLine="480" w:firstLineChars="200"/>
        <w:rPr>
          <w:color w:val="000000"/>
          <w:sz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13</w:t>
      </w:r>
      <w:r>
        <w:rPr>
          <w:rFonts w:hint="eastAsia" w:ascii="Times New Roman" w:hAnsi="Times New Roman" w:eastAsia="宋体" w:cs="Times New Roman"/>
          <w:sz w:val="24"/>
          <w:szCs w:val="24"/>
          <w:lang w:eastAsia="zh-CN"/>
        </w:rPr>
        <w:t>）</w:t>
      </w:r>
      <w:r>
        <w:rPr>
          <w:rFonts w:hint="eastAsia"/>
          <w:color w:val="000000"/>
          <w:sz w:val="24"/>
          <w:szCs w:val="24"/>
        </w:rPr>
        <w:t>《</w:t>
      </w:r>
      <w:r>
        <w:rPr>
          <w:rFonts w:hint="eastAsia" w:ascii="宋体" w:hAnsi="宋体"/>
          <w:color w:val="000000"/>
          <w:sz w:val="24"/>
          <w:szCs w:val="24"/>
          <w:lang w:val="en-US" w:eastAsia="zh-CN"/>
        </w:rPr>
        <w:t>阿尔山市</w:t>
      </w:r>
      <w:r>
        <w:rPr>
          <w:rFonts w:hint="eastAsia" w:ascii="宋体" w:hAnsi="宋体"/>
          <w:color w:val="000000"/>
          <w:sz w:val="24"/>
          <w:szCs w:val="24"/>
        </w:rPr>
        <w:t>城市总体规划（201</w:t>
      </w:r>
      <w:r>
        <w:rPr>
          <w:rFonts w:hint="eastAsia" w:ascii="宋体" w:hAnsi="宋体"/>
          <w:color w:val="000000"/>
          <w:sz w:val="24"/>
          <w:szCs w:val="24"/>
          <w:lang w:val="en-US" w:eastAsia="zh-CN"/>
        </w:rPr>
        <w:t>2</w:t>
      </w:r>
      <w:r>
        <w:rPr>
          <w:rFonts w:hint="eastAsia" w:ascii="宋体" w:hAnsi="宋体"/>
          <w:color w:val="000000"/>
          <w:sz w:val="24"/>
          <w:szCs w:val="24"/>
        </w:rPr>
        <w:t>-2030</w:t>
      </w:r>
      <w:r>
        <w:rPr>
          <w:color w:val="000000"/>
          <w:sz w:val="24"/>
        </w:rPr>
        <w:t>》</w:t>
      </w:r>
    </w:p>
    <w:p>
      <w:pPr>
        <w:adjustRightInd w:val="0"/>
        <w:snapToGrid w:val="0"/>
        <w:spacing w:line="360" w:lineRule="auto"/>
        <w:ind w:firstLine="480" w:firstLineChars="200"/>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14</w:t>
      </w:r>
      <w:r>
        <w:rPr>
          <w:rFonts w:hint="eastAsia" w:ascii="Times New Roman" w:hAnsi="Times New Roman" w:cs="Times New Roman"/>
          <w:sz w:val="24"/>
          <w:szCs w:val="24"/>
          <w:lang w:eastAsia="zh-CN"/>
        </w:rPr>
        <w:t>）《</w:t>
      </w:r>
      <w:r>
        <w:rPr>
          <w:rFonts w:hint="eastAsia" w:ascii="宋体" w:hAnsi="宋体" w:eastAsia="宋体" w:cs="宋体"/>
          <w:b w:val="0"/>
          <w:bCs w:val="0"/>
          <w:color w:val="000000"/>
          <w:sz w:val="24"/>
          <w:highlight w:val="none"/>
          <w:lang w:val="en-US" w:eastAsia="zh-CN"/>
        </w:rPr>
        <w:t>兴安盟</w:t>
      </w:r>
      <w:r>
        <w:rPr>
          <w:rFonts w:hint="eastAsia" w:ascii="宋体" w:hAnsi="宋体" w:eastAsia="宋体" w:cs="宋体"/>
          <w:b w:val="0"/>
          <w:bCs w:val="0"/>
          <w:color w:val="000000"/>
          <w:sz w:val="24"/>
          <w:highlight w:val="none"/>
        </w:rPr>
        <w:t>“十四五”</w:t>
      </w:r>
      <w:r>
        <w:rPr>
          <w:rFonts w:hint="eastAsia" w:ascii="宋体" w:hAnsi="宋体" w:eastAsia="宋体" w:cs="宋体"/>
          <w:b w:val="0"/>
          <w:bCs w:val="0"/>
          <w:color w:val="000000"/>
          <w:sz w:val="24"/>
          <w:highlight w:val="none"/>
          <w:lang w:val="en-US" w:eastAsia="zh-CN"/>
        </w:rPr>
        <w:t>生态环境保护规划</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兴环办发[2021]206号。</w:t>
      </w:r>
    </w:p>
    <w:p>
      <w:pPr>
        <w:pStyle w:val="6"/>
        <w:spacing w:before="0" w:after="0" w:line="360" w:lineRule="auto"/>
        <w:rPr>
          <w:rFonts w:hint="default" w:ascii="Times New Roman" w:hAnsi="Times New Roman" w:eastAsia="宋体" w:cs="Times New Roman"/>
          <w:kern w:val="0"/>
          <w:sz w:val="24"/>
          <w:szCs w:val="24"/>
        </w:rPr>
      </w:pPr>
      <w:bookmarkStart w:id="24" w:name="_Toc25472"/>
      <w:bookmarkStart w:id="25" w:name="_Toc439257685"/>
      <w:bookmarkStart w:id="26" w:name="_Toc18818"/>
      <w:r>
        <w:rPr>
          <w:rStyle w:val="26"/>
          <w:rFonts w:hint="default" w:ascii="Times New Roman" w:hAnsi="Times New Roman" w:cs="Times New Roman"/>
          <w:b/>
          <w:bCs/>
        </w:rPr>
        <w:t>1.1.3技术依据</w:t>
      </w:r>
      <w:bookmarkEnd w:id="24"/>
      <w:bookmarkEnd w:id="25"/>
      <w:bookmarkEnd w:id="26"/>
      <w:r>
        <w:rPr>
          <w:rFonts w:hint="default" w:ascii="Times New Roman" w:hAnsi="Times New Roman" w:eastAsia="宋体" w:cs="Times New Roman"/>
          <w:kern w:val="0"/>
          <w:sz w:val="24"/>
          <w:szCs w:val="24"/>
        </w:rPr>
        <w:t xml:space="preserve"> </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（1）《建设项目环境影响评价技术导则 总纲》（HJ2.1-2016）；</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大气环境》（HJ2.2-2018）；</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rPr>
        <w:t>（3）《环境影响评</w:t>
      </w:r>
      <w:r>
        <w:rPr>
          <w:rFonts w:hint="default" w:ascii="Times New Roman" w:hAnsi="Times New Roman" w:eastAsia="宋体" w:cs="Times New Roman"/>
          <w:color w:val="auto"/>
          <w:sz w:val="24"/>
          <w:szCs w:val="24"/>
        </w:rPr>
        <w:t>价技术导则 地表水环境》（HJ2.3-2018）</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（4）《环境影响评价技术导则 地下水环境》（HJ610-2016）；</w:t>
      </w:r>
    </w:p>
    <w:p>
      <w:pPr>
        <w:spacing w:line="360" w:lineRule="auto"/>
        <w:ind w:firstLine="480" w:firstLineChars="200"/>
        <w:rPr>
          <w:rFonts w:hint="default" w:ascii="Times New Roman" w:hAnsi="Times New Roman" w:eastAsia="宋体" w:cs="Times New Roman"/>
          <w:color w:val="auto"/>
          <w:sz w:val="24"/>
          <w:szCs w:val="24"/>
        </w:rPr>
      </w:pPr>
      <w:bookmarkStart w:id="27" w:name="_Hlk11135447"/>
      <w:r>
        <w:rPr>
          <w:rFonts w:hint="default" w:ascii="Times New Roman" w:hAnsi="Times New Roman" w:eastAsia="宋体" w:cs="Times New Roman"/>
          <w:color w:val="auto"/>
          <w:sz w:val="24"/>
          <w:szCs w:val="24"/>
        </w:rPr>
        <w:t>（5）《环境影响评价技术导则 声环境》（HJ2.4-</w:t>
      </w:r>
      <w:r>
        <w:rPr>
          <w:rFonts w:hint="default" w:ascii="Times New Roman" w:hAnsi="Times New Roman" w:eastAsia="宋体" w:cs="Times New Roman"/>
          <w:color w:val="auto"/>
          <w:sz w:val="24"/>
          <w:szCs w:val="24"/>
          <w:lang w:val="en-US" w:eastAsia="zh-CN"/>
        </w:rPr>
        <w:t>2021</w:t>
      </w:r>
      <w:r>
        <w:rPr>
          <w:rFonts w:hint="default" w:ascii="Times New Roman" w:hAnsi="Times New Roman" w:eastAsia="宋体" w:cs="Times New Roman"/>
          <w:color w:val="auto"/>
          <w:sz w:val="24"/>
          <w:szCs w:val="24"/>
        </w:rPr>
        <w:t>）；</w:t>
      </w:r>
      <w:bookmarkEnd w:id="27"/>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（6）《环境影响评价技术导则 生态影响》（HJ19-</w:t>
      </w:r>
      <w:r>
        <w:rPr>
          <w:rFonts w:hint="default"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rPr>
        <w:t>）；</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（7）《环境影响评价技术导则 土壤环境（试行）》（HJ964-2018）；</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（8）《建设项目环境风险评价技术导则》（HJ1</w:t>
      </w:r>
      <w:r>
        <w:rPr>
          <w:rFonts w:hint="default" w:ascii="Times New Roman" w:hAnsi="Times New Roman" w:eastAsia="宋体" w:cs="Times New Roman"/>
          <w:sz w:val="24"/>
          <w:szCs w:val="24"/>
        </w:rPr>
        <w:t>69-2018）；</w:t>
      </w:r>
    </w:p>
    <w:p>
      <w:pPr>
        <w:adjustRightInd w:val="0"/>
        <w:snapToGrid w:val="0"/>
        <w:spacing w:line="360" w:lineRule="auto"/>
        <w:ind w:firstLine="480" w:firstLineChars="200"/>
        <w:rPr>
          <w:rFonts w:hint="default" w:ascii="Times New Roman" w:hAnsi="Times New Roman" w:eastAsia="宋体" w:cs="Times New Roman"/>
          <w:sz w:val="24"/>
          <w:szCs w:val="24"/>
        </w:rPr>
      </w:pPr>
      <w:bookmarkStart w:id="28" w:name="_Hlk40103562"/>
      <w:r>
        <w:rPr>
          <w:rFonts w:hint="default" w:ascii="Times New Roman" w:hAnsi="Times New Roman" w:eastAsia="宋体" w:cs="Times New Roman"/>
          <w:sz w:val="24"/>
          <w:szCs w:val="24"/>
        </w:rPr>
        <w:t>（9）</w:t>
      </w:r>
      <w:r>
        <w:rPr>
          <w:rFonts w:hint="default" w:ascii="Times New Roman" w:hAnsi="Times New Roman" w:eastAsia="宋体" w:cs="Times New Roman"/>
          <w:b w:val="0"/>
          <w:bCs w:val="0"/>
          <w:sz w:val="24"/>
          <w:szCs w:val="24"/>
          <w:lang w:val="en-US" w:eastAsia="zh-CN"/>
        </w:rPr>
        <w:t>《医疗废物高温蒸汽消毒集中处理工程技术规范》（HJ276-2021）</w:t>
      </w:r>
      <w:r>
        <w:rPr>
          <w:rFonts w:hint="default" w:ascii="Times New Roman" w:hAnsi="Times New Roman" w:eastAsia="宋体" w:cs="Times New Roman"/>
          <w:sz w:val="24"/>
          <w:szCs w:val="24"/>
        </w:rPr>
        <w:t>；</w:t>
      </w:r>
    </w:p>
    <w:bookmarkEnd w:id="28"/>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（10）《医疗废物处理处置污染控制标准》（GB39707-2020）；</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（11）《医院污水处理工程技术规范》（HJ2029-2013）；</w:t>
      </w:r>
    </w:p>
    <w:p>
      <w:pPr>
        <w:adjustRightInd w:val="0"/>
        <w:snapToGrid w:val="0"/>
        <w:spacing w:line="360" w:lineRule="auto"/>
        <w:ind w:firstLine="480" w:firstLineChars="200"/>
        <w:outlineLvl w:val="3"/>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（12）《国家危险废物名录》（2021年版）；</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）《危险废物和医疗废物处置设施建设项目环境影响评价技术原则（试行）》（环发[2004]58号）；</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）《大气有害物质无组织排放卫生防护距离推导技术导则》（GB/T39499-2020）；</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）《医疗废物集中处置技术规范》（环发[2003]206 号）；</w:t>
      </w:r>
    </w:p>
    <w:p>
      <w:pPr>
        <w:spacing w:line="360" w:lineRule="auto"/>
        <w:ind w:firstLine="480" w:firstLineChars="200"/>
        <w:rPr>
          <w:rFonts w:hint="default" w:ascii="Times New Roman" w:hAnsi="Times New Roman" w:eastAsia="宋体" w:cs="Times New Roman"/>
          <w:color w:val="000000"/>
          <w:kern w:val="0"/>
          <w:sz w:val="24"/>
          <w:szCs w:val="24"/>
        </w:rPr>
      </w:pPr>
      <w:r>
        <w:rPr>
          <w:rFonts w:hint="default" w:ascii="Times New Roman" w:hAnsi="Times New Roman" w:eastAsia="宋体" w:cs="Times New Roman"/>
          <w:kern w:val="0"/>
          <w:sz w:val="24"/>
          <w:szCs w:val="24"/>
        </w:rPr>
        <w:t>（1</w:t>
      </w:r>
      <w:r>
        <w:rPr>
          <w:rFonts w:hint="default" w:ascii="Times New Roman" w:hAnsi="Times New Roman" w:eastAsia="宋体" w:cs="Times New Roman"/>
          <w:kern w:val="0"/>
          <w:sz w:val="24"/>
          <w:szCs w:val="24"/>
          <w:lang w:val="en-US" w:eastAsia="zh-CN"/>
        </w:rPr>
        <w:t>6</w:t>
      </w:r>
      <w:r>
        <w:rPr>
          <w:rFonts w:hint="default" w:ascii="Times New Roman" w:hAnsi="Times New Roman" w:eastAsia="宋体" w:cs="Times New Roman"/>
          <w:kern w:val="0"/>
          <w:sz w:val="24"/>
          <w:szCs w:val="24"/>
        </w:rPr>
        <w:t>）《危险废物转移管理办法》2021年11月30日公布，部令 第23号，自2022年1月1日起施</w:t>
      </w:r>
      <w:r>
        <w:rPr>
          <w:rFonts w:hint="default" w:ascii="Times New Roman" w:hAnsi="Times New Roman" w:eastAsia="宋体" w:cs="Times New Roman"/>
          <w:color w:val="000000"/>
          <w:kern w:val="0"/>
          <w:sz w:val="24"/>
          <w:szCs w:val="24"/>
        </w:rPr>
        <w:t>行；</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w:t>
      </w:r>
      <w:r>
        <w:rPr>
          <w:rFonts w:hint="default" w:ascii="Times New Roman" w:hAnsi="Times New Roman" w:eastAsia="宋体" w:cs="Times New Roman"/>
          <w:color w:val="000000"/>
          <w:sz w:val="24"/>
          <w:szCs w:val="24"/>
          <w:lang w:val="en-US" w:eastAsia="zh-CN"/>
        </w:rPr>
        <w:t>7</w:t>
      </w:r>
      <w:r>
        <w:rPr>
          <w:rFonts w:hint="default" w:ascii="Times New Roman" w:hAnsi="Times New Roman" w:eastAsia="宋体" w:cs="Times New Roman"/>
          <w:color w:val="000000"/>
          <w:sz w:val="24"/>
          <w:szCs w:val="24"/>
        </w:rPr>
        <w:t>）《医疗废物转运车技术要求》（GB 19217-2003）；</w:t>
      </w:r>
    </w:p>
    <w:p>
      <w:pPr>
        <w:adjustRightInd w:val="0"/>
        <w:snapToGrid w:val="0"/>
        <w:spacing w:line="360" w:lineRule="auto"/>
        <w:ind w:firstLine="480" w:firstLineChars="200"/>
        <w:outlineLvl w:val="3"/>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w:t>
      </w:r>
      <w:r>
        <w:rPr>
          <w:rFonts w:hint="default"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rPr>
        <w:t>）《医疗废物管理条例》国务院令第380号；</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19</w:t>
      </w:r>
      <w:r>
        <w:rPr>
          <w:rFonts w:hint="default" w:ascii="Times New Roman" w:hAnsi="Times New Roman" w:eastAsia="宋体" w:cs="Times New Roman"/>
          <w:color w:val="000000"/>
          <w:sz w:val="24"/>
          <w:szCs w:val="24"/>
        </w:rPr>
        <w:t>）《医疗废物处理处置污染防治最佳可行技术指南（试行）》；</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2</w:t>
      </w:r>
      <w:r>
        <w:rPr>
          <w:rFonts w:hint="eastAsia" w:ascii="Times New Roman" w:hAnsi="Times New Roman" w:eastAsia="宋体" w:cs="Times New Roman"/>
          <w:color w:val="000000"/>
          <w:sz w:val="24"/>
          <w:szCs w:val="24"/>
          <w:lang w:val="en-US" w:eastAsia="zh-CN"/>
        </w:rPr>
        <w:t>0</w:t>
      </w:r>
      <w:r>
        <w:rPr>
          <w:rFonts w:hint="default" w:ascii="Times New Roman" w:hAnsi="Times New Roman" w:eastAsia="宋体" w:cs="Times New Roman"/>
          <w:color w:val="000000"/>
          <w:sz w:val="24"/>
          <w:szCs w:val="24"/>
        </w:rPr>
        <w:t>）《危险废物收集贮存运输技术规范》（HJ2025-2012）；</w:t>
      </w:r>
    </w:p>
    <w:p>
      <w:pPr>
        <w:adjustRightInd w:val="0"/>
        <w:snapToGrid w:val="0"/>
        <w:spacing w:line="360" w:lineRule="auto"/>
        <w:ind w:firstLine="480" w:firstLineChars="200"/>
        <w:rPr>
          <w:rFonts w:hint="default" w:ascii="Times New Roman" w:hAnsi="Times New Roman" w:cs="Times New Roman"/>
        </w:rPr>
      </w:pP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2</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）《排污许可证申请与核发技术规范 工业固体废物和危险废物治理》（HJ1033-2019）。</w:t>
      </w:r>
    </w:p>
    <w:p>
      <w:pPr>
        <w:pStyle w:val="6"/>
        <w:bidi w:val="0"/>
        <w:rPr>
          <w:rFonts w:hint="default" w:ascii="Times New Roman" w:hAnsi="Times New Roman" w:cs="Times New Roman"/>
          <w:lang w:val="en-US" w:eastAsia="zh-CN"/>
        </w:rPr>
      </w:pPr>
      <w:bookmarkStart w:id="29" w:name="_Toc439257686"/>
      <w:bookmarkStart w:id="30" w:name="_Toc21459"/>
      <w:bookmarkStart w:id="31" w:name="_Toc22395"/>
      <w:r>
        <w:rPr>
          <w:rFonts w:hint="default" w:ascii="Times New Roman" w:hAnsi="Times New Roman" w:cs="Times New Roman"/>
          <w:lang w:val="en-US" w:eastAsia="zh-CN"/>
        </w:rPr>
        <w:t>1.1.4 项目资料</w:t>
      </w:r>
      <w:bookmarkEnd w:id="29"/>
      <w:bookmarkEnd w:id="30"/>
      <w:bookmarkEnd w:id="31"/>
    </w:p>
    <w:p>
      <w:pPr>
        <w:adjustRightInd w:val="0"/>
        <w:snapToGrid w:val="0"/>
        <w:spacing w:line="360" w:lineRule="auto"/>
        <w:ind w:firstLine="480" w:firstLineChars="200"/>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1、《阿尔山市医疗废物处置中心建设项目可行性研究报告》；</w:t>
      </w:r>
    </w:p>
    <w:p>
      <w:pPr>
        <w:adjustRightInd w:val="0"/>
        <w:snapToGrid w:val="0"/>
        <w:spacing w:line="360" w:lineRule="auto"/>
        <w:ind w:firstLine="480" w:firstLineChars="200"/>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2、《阿尔山市生活垃圾处理工程环境影响报告书》</w:t>
      </w:r>
      <w:r>
        <w:rPr>
          <w:rFonts w:hint="eastAsia" w:ascii="Times New Roman" w:hAnsi="Times New Roman" w:eastAsia="宋体" w:cs="Times New Roman"/>
          <w:b w:val="0"/>
          <w:bCs w:val="0"/>
          <w:color w:val="000000"/>
          <w:kern w:val="2"/>
          <w:sz w:val="24"/>
          <w:szCs w:val="24"/>
          <w:highlight w:val="none"/>
          <w:lang w:val="en-US" w:eastAsia="zh-CN" w:bidi="ar-SA"/>
        </w:rPr>
        <w:t>及批复、验收文件</w:t>
      </w:r>
      <w:r>
        <w:rPr>
          <w:rFonts w:hint="default" w:ascii="Times New Roman" w:hAnsi="Times New Roman" w:eastAsia="宋体" w:cs="Times New Roman"/>
          <w:b w:val="0"/>
          <w:bCs w:val="0"/>
          <w:color w:val="000000"/>
          <w:kern w:val="2"/>
          <w:sz w:val="24"/>
          <w:szCs w:val="24"/>
          <w:lang w:val="en-US" w:eastAsia="zh-CN" w:bidi="ar-SA"/>
        </w:rPr>
        <w:t>；</w:t>
      </w:r>
    </w:p>
    <w:p>
      <w:pPr>
        <w:pStyle w:val="2"/>
        <w:spacing w:line="360" w:lineRule="auto"/>
        <w:ind w:firstLine="480"/>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3、阿尔山市生活垃圾处理工程地质勘察报告及相关图件资料；</w:t>
      </w:r>
    </w:p>
    <w:p>
      <w:pPr>
        <w:adjustRightInd w:val="0"/>
        <w:snapToGrid w:val="0"/>
        <w:spacing w:line="360" w:lineRule="auto"/>
        <w:ind w:firstLine="480" w:firstLineChars="200"/>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4、建设单位提供备案文件及其他相关资料；</w:t>
      </w:r>
    </w:p>
    <w:p>
      <w:pPr>
        <w:adjustRightInd w:val="0"/>
        <w:snapToGrid w:val="0"/>
        <w:spacing w:line="360" w:lineRule="auto"/>
        <w:ind w:firstLine="480" w:firstLineChars="200"/>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5、项目环评委托书。</w:t>
      </w:r>
    </w:p>
    <w:p>
      <w:pPr>
        <w:pStyle w:val="5"/>
        <w:bidi w:val="0"/>
        <w:rPr>
          <w:rFonts w:hint="default" w:ascii="Times New Roman" w:hAnsi="Times New Roman" w:cs="Times New Roman"/>
          <w:lang w:val="en-US" w:eastAsia="zh-CN"/>
        </w:rPr>
      </w:pPr>
      <w:bookmarkStart w:id="32" w:name="_Toc32484"/>
      <w:r>
        <w:rPr>
          <w:rFonts w:hint="default" w:ascii="Times New Roman" w:hAnsi="Times New Roman" w:cs="Times New Roman"/>
          <w:lang w:val="en-US" w:eastAsia="zh-CN"/>
        </w:rPr>
        <w:t>1.2 评价目的及重点</w:t>
      </w:r>
      <w:bookmarkEnd w:id="32"/>
    </w:p>
    <w:p>
      <w:pPr>
        <w:pStyle w:val="6"/>
        <w:bidi w:val="0"/>
        <w:rPr>
          <w:rFonts w:hint="default" w:ascii="Times New Roman" w:hAnsi="Times New Roman" w:cs="Times New Roman"/>
          <w:lang w:val="en-US" w:eastAsia="zh-CN"/>
        </w:rPr>
      </w:pPr>
      <w:bookmarkStart w:id="33" w:name="_Toc13727"/>
      <w:r>
        <w:rPr>
          <w:rFonts w:hint="default" w:ascii="Times New Roman" w:hAnsi="Times New Roman" w:cs="Times New Roman"/>
          <w:lang w:val="en-US" w:eastAsia="zh-CN"/>
        </w:rPr>
        <w:t>1.2.1 评价目的</w:t>
      </w:r>
      <w:bookmarkEnd w:id="33"/>
    </w:p>
    <w:p>
      <w:pPr>
        <w:widowControl/>
        <w:spacing w:line="360" w:lineRule="auto"/>
        <w:ind w:firstLine="480" w:firstLineChars="200"/>
        <w:jc w:val="left"/>
        <w:rPr>
          <w:rFonts w:hint="default" w:ascii="Times New Roman" w:hAnsi="Times New Roman" w:eastAsia="宋体" w:cs="Times New Roman"/>
          <w:color w:val="000000"/>
          <w:sz w:val="24"/>
          <w:szCs w:val="21"/>
        </w:rPr>
      </w:pPr>
      <w:r>
        <w:rPr>
          <w:rFonts w:hint="default" w:ascii="Times New Roman" w:hAnsi="Times New Roman" w:eastAsia="宋体" w:cs="Times New Roman"/>
          <w:color w:val="000000"/>
          <w:sz w:val="24"/>
          <w:szCs w:val="21"/>
        </w:rPr>
        <w:t xml:space="preserve">（1）根据国家和地方的有关法律法规，分析项目的建设是否符合国家的产业 政策和相关发展规划，其工艺技术、生产规模、环保设备是否符合环境保护政策，从环境保护的角度论证该项目的合理性、可行性，提出环境对策和建议。 </w:t>
      </w:r>
    </w:p>
    <w:p>
      <w:pPr>
        <w:widowControl/>
        <w:spacing w:line="360" w:lineRule="auto"/>
        <w:ind w:firstLine="480" w:firstLineChars="200"/>
        <w:rPr>
          <w:rFonts w:hint="default" w:ascii="Times New Roman" w:hAnsi="Times New Roman" w:eastAsia="宋体" w:cs="Times New Roman"/>
          <w:color w:val="000000"/>
          <w:sz w:val="24"/>
          <w:szCs w:val="21"/>
        </w:rPr>
      </w:pPr>
      <w:r>
        <w:rPr>
          <w:rFonts w:hint="default" w:ascii="Times New Roman" w:hAnsi="Times New Roman" w:eastAsia="宋体" w:cs="Times New Roman"/>
          <w:color w:val="000000"/>
          <w:sz w:val="24"/>
          <w:szCs w:val="21"/>
        </w:rPr>
        <w:t>（2）在对项目区环境现状进行详细调查分析的基础上，掌握项目区及周边区域环境状况，根据拟建现状、规模、结构、布局等预测评价该项目建设后对项目区及周边环境带来的影响和程度。提出切实可行的环境保护措施、环境管理计 划和环境监测计划，减轻或消除项目产生的不利影响，以达到该地区经济的可持 续发展。</w:t>
      </w:r>
    </w:p>
    <w:p>
      <w:pPr>
        <w:widowControl/>
        <w:spacing w:line="360" w:lineRule="auto"/>
        <w:ind w:firstLine="480" w:firstLineChars="200"/>
        <w:rPr>
          <w:rFonts w:hint="default" w:ascii="Times New Roman" w:hAnsi="Times New Roman" w:eastAsia="宋体" w:cs="Times New Roman"/>
          <w:color w:val="000000"/>
          <w:sz w:val="24"/>
          <w:szCs w:val="21"/>
        </w:rPr>
      </w:pPr>
      <w:r>
        <w:rPr>
          <w:rFonts w:hint="default" w:ascii="Times New Roman" w:hAnsi="Times New Roman" w:eastAsia="宋体" w:cs="Times New Roman"/>
          <w:color w:val="000000"/>
          <w:sz w:val="24"/>
          <w:szCs w:val="21"/>
        </w:rPr>
        <w:t>（3）通过对该建设项目的施工期、运营期进行全过程工程分析，掌握生产工艺流程及其水平以及污染物的产生量和最终排放量，理清污染物的最终去向；分析各类污染物是否达标排放、是否满足总量控制的要求；对项目建设后可能造成的环境污染和生态影响的范围、程度进行预测评价；对工程中拟采取的污染防治措施的可行性、合理性进行分析。并提出技术上可靠、针对性和可操作性强、经济和布局上合理的最佳污染防治方案。</w:t>
      </w:r>
    </w:p>
    <w:p>
      <w:pPr>
        <w:widowControl/>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color w:val="000000"/>
          <w:sz w:val="24"/>
          <w:szCs w:val="21"/>
        </w:rPr>
        <w:t>（4）从环境保护的角度论证项目建设的可行性，为领导部门决策、工程设计和环境管理提供科学依据</w:t>
      </w:r>
      <w:r>
        <w:rPr>
          <w:rFonts w:hint="default" w:ascii="Times New Roman" w:hAnsi="Times New Roman" w:eastAsia="宋体" w:cs="Times New Roman"/>
          <w:sz w:val="24"/>
        </w:rPr>
        <w:t>。</w:t>
      </w:r>
    </w:p>
    <w:p>
      <w:pPr>
        <w:pStyle w:val="6"/>
        <w:bidi w:val="0"/>
        <w:rPr>
          <w:rFonts w:hint="default" w:ascii="Times New Roman" w:hAnsi="Times New Roman" w:cs="Times New Roman"/>
          <w:lang w:val="en-US" w:eastAsia="zh-CN"/>
        </w:rPr>
      </w:pPr>
      <w:bookmarkStart w:id="34" w:name="_Toc26557"/>
      <w:r>
        <w:rPr>
          <w:rFonts w:hint="default" w:ascii="Times New Roman" w:hAnsi="Times New Roman" w:cs="Times New Roman"/>
          <w:lang w:val="en-US" w:eastAsia="zh-CN"/>
        </w:rPr>
        <w:t>1.2.2 评价重点</w:t>
      </w:r>
      <w:bookmarkEnd w:id="34"/>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贯彻执行我国环境保护相关法律法规、标准、政策和规划等，优化项目建设，服务管理。规划环境影响评价方法，科学分析项目建设对环境质量的影响。根据建设项目的工程内容及其特点，明确与环境要素间的作用效应关系，充分利用符合时效的数据资料及成果，对建设项目主要环境影响予以重点分析和评价。</w:t>
      </w:r>
    </w:p>
    <w:p>
      <w:pPr>
        <w:widowControl/>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区域环境质量状况和项目的基本情况，确定本评价的工作重点是以项目运营期的工程分析、污染防治措施为基础，以环境空气影响评价、水环境影响评价、固体废物环境影响评价、土壤环境影响评价为评价重点，对环境风险、声学环境影响评价、生态环境影响评价做次要点进行分析评价。</w:t>
      </w:r>
    </w:p>
    <w:p>
      <w:pPr>
        <w:pStyle w:val="5"/>
        <w:bidi w:val="0"/>
        <w:rPr>
          <w:rFonts w:hint="default" w:ascii="Times New Roman" w:hAnsi="Times New Roman" w:cs="Times New Roman"/>
          <w:lang w:val="en-US" w:eastAsia="zh-CN"/>
        </w:rPr>
      </w:pPr>
      <w:bookmarkStart w:id="35" w:name="_Toc30437"/>
      <w:r>
        <w:rPr>
          <w:rFonts w:hint="default" w:ascii="Times New Roman" w:hAnsi="Times New Roman" w:cs="Times New Roman"/>
          <w:lang w:val="en-US" w:eastAsia="zh-CN"/>
        </w:rPr>
        <w:t>1.3 环境影响因素识别和评价因子筛选</w:t>
      </w:r>
      <w:bookmarkEnd w:id="35"/>
    </w:p>
    <w:p>
      <w:pPr>
        <w:pStyle w:val="5"/>
        <w:bidi w:val="0"/>
        <w:spacing w:line="360" w:lineRule="auto"/>
        <w:ind w:firstLine="480" w:firstLineChars="200"/>
        <w:rPr>
          <w:rFonts w:hint="default" w:ascii="Times New Roman" w:hAnsi="Times New Roman" w:eastAsia="宋体" w:cs="Times New Roman"/>
          <w:b w:val="0"/>
          <w:bCs w:val="0"/>
          <w:sz w:val="24"/>
        </w:rPr>
      </w:pPr>
      <w:bookmarkStart w:id="36" w:name="_Toc8086"/>
      <w:r>
        <w:rPr>
          <w:rFonts w:hint="default" w:ascii="Times New Roman" w:hAnsi="Times New Roman" w:eastAsia="宋体" w:cs="Times New Roman"/>
          <w:b w:val="0"/>
          <w:bCs w:val="0"/>
          <w:sz w:val="24"/>
        </w:rPr>
        <w:t>根据项目的性质，判别项目在不同阶段对环境产生影响的因素和程度，确定项目施工期和运营期可能产生的主要环境问题，并筛选出主要评价因子，为预测评价提供依据。</w:t>
      </w:r>
      <w:bookmarkEnd w:id="36"/>
    </w:p>
    <w:p>
      <w:pPr>
        <w:pStyle w:val="36"/>
        <w:spacing w:line="360" w:lineRule="auto"/>
        <w:rPr>
          <w:rFonts w:hint="default" w:ascii="Times New Roman" w:hAnsi="Times New Roman" w:cs="Times New Roman"/>
        </w:rPr>
      </w:pPr>
      <w:bookmarkStart w:id="37" w:name="_Toc377975080"/>
      <w:bookmarkStart w:id="38" w:name="_Toc439257707"/>
      <w:bookmarkStart w:id="39" w:name="_Toc426048307"/>
      <w:bookmarkStart w:id="40" w:name="_Toc9513"/>
      <w:bookmarkStart w:id="41" w:name="_Toc10533"/>
      <w:r>
        <w:rPr>
          <w:rFonts w:hint="default" w:ascii="Times New Roman" w:hAnsi="Times New Roman" w:cs="Times New Roman"/>
        </w:rPr>
        <w:t xml:space="preserve">第2章   </w:t>
      </w:r>
      <w:bookmarkEnd w:id="37"/>
      <w:r>
        <w:rPr>
          <w:rFonts w:hint="default" w:ascii="Times New Roman" w:hAnsi="Times New Roman" w:cs="Times New Roman"/>
        </w:rPr>
        <w:t>建设项目工程分析</w:t>
      </w:r>
      <w:bookmarkEnd w:id="38"/>
      <w:bookmarkEnd w:id="39"/>
      <w:bookmarkEnd w:id="40"/>
      <w:bookmarkEnd w:id="41"/>
    </w:p>
    <w:p>
      <w:pPr>
        <w:pStyle w:val="5"/>
        <w:spacing w:before="0" w:after="0" w:line="360" w:lineRule="auto"/>
        <w:rPr>
          <w:rFonts w:hint="default" w:ascii="Times New Roman" w:hAnsi="Times New Roman" w:eastAsia="宋体" w:cs="Times New Roman"/>
          <w:sz w:val="30"/>
          <w:szCs w:val="30"/>
        </w:rPr>
      </w:pPr>
      <w:bookmarkStart w:id="42" w:name="_Toc439257712"/>
      <w:bookmarkStart w:id="43" w:name="_Toc426048309"/>
      <w:bookmarkStart w:id="44" w:name="_Toc25433"/>
      <w:bookmarkStart w:id="45" w:name="_Toc20167"/>
      <w:r>
        <w:rPr>
          <w:rFonts w:hint="default" w:ascii="Times New Roman" w:hAnsi="Times New Roman" w:eastAsia="宋体" w:cs="Times New Roman"/>
          <w:sz w:val="30"/>
          <w:szCs w:val="30"/>
        </w:rPr>
        <w:t>2.1项目</w:t>
      </w:r>
      <w:bookmarkEnd w:id="42"/>
      <w:bookmarkEnd w:id="43"/>
      <w:r>
        <w:rPr>
          <w:rFonts w:hint="default" w:ascii="Times New Roman" w:hAnsi="Times New Roman" w:eastAsia="宋体" w:cs="Times New Roman"/>
          <w:sz w:val="30"/>
          <w:szCs w:val="30"/>
        </w:rPr>
        <w:t>概况</w:t>
      </w:r>
      <w:bookmarkEnd w:id="44"/>
      <w:bookmarkEnd w:id="45"/>
    </w:p>
    <w:p>
      <w:pPr>
        <w:pStyle w:val="6"/>
        <w:spacing w:before="0" w:after="0" w:line="360" w:lineRule="auto"/>
        <w:rPr>
          <w:rFonts w:hint="default" w:ascii="Times New Roman" w:hAnsi="Times New Roman" w:cs="Times New Roman"/>
          <w:sz w:val="28"/>
        </w:rPr>
      </w:pPr>
      <w:bookmarkStart w:id="46" w:name="_Toc21488"/>
      <w:bookmarkStart w:id="47" w:name="_Toc29905"/>
      <w:r>
        <w:rPr>
          <w:rFonts w:hint="default" w:ascii="Times New Roman" w:hAnsi="Times New Roman" w:cs="Times New Roman"/>
          <w:sz w:val="28"/>
        </w:rPr>
        <w:t>2.1.1基本概况</w:t>
      </w:r>
      <w:bookmarkEnd w:id="46"/>
      <w:bookmarkEnd w:id="47"/>
    </w:p>
    <w:p>
      <w:pPr>
        <w:spacing w:line="360" w:lineRule="auto"/>
        <w:ind w:left="1651" w:leftChars="224" w:hanging="1181" w:hangingChars="490"/>
        <w:outlineLvl w:val="3"/>
        <w:rPr>
          <w:rFonts w:hint="default" w:ascii="Times New Roman" w:hAnsi="Times New Roman" w:cs="Times New Roman"/>
          <w:sz w:val="24"/>
        </w:rPr>
      </w:pPr>
      <w:r>
        <w:rPr>
          <w:rFonts w:hint="default" w:ascii="Times New Roman" w:hAnsi="Times New Roman" w:cs="Times New Roman"/>
          <w:b/>
          <w:sz w:val="24"/>
        </w:rPr>
        <w:t>项目名称：</w:t>
      </w:r>
      <w:r>
        <w:rPr>
          <w:rFonts w:hint="default" w:ascii="Times New Roman" w:hAnsi="Times New Roman" w:cs="Times New Roman"/>
          <w:sz w:val="24"/>
          <w:lang w:val="en-US" w:eastAsia="zh-CN"/>
        </w:rPr>
        <w:t>阿尔山市医疗废物处置中心</w:t>
      </w:r>
      <w:r>
        <w:rPr>
          <w:rFonts w:hint="default" w:ascii="Times New Roman" w:hAnsi="Times New Roman" w:cs="Times New Roman"/>
          <w:sz w:val="24"/>
        </w:rPr>
        <w:t>建设项目</w:t>
      </w:r>
    </w:p>
    <w:p>
      <w:pPr>
        <w:spacing w:line="360" w:lineRule="auto"/>
        <w:ind w:firstLine="482" w:firstLineChars="200"/>
        <w:rPr>
          <w:rFonts w:hint="default" w:ascii="Times New Roman" w:hAnsi="Times New Roman" w:cs="Times New Roman"/>
          <w:sz w:val="24"/>
        </w:rPr>
      </w:pPr>
      <w:r>
        <w:rPr>
          <w:rFonts w:hint="default" w:ascii="Times New Roman" w:hAnsi="Times New Roman" w:cs="Times New Roman"/>
          <w:b/>
          <w:sz w:val="24"/>
        </w:rPr>
        <w:t>项目性质：</w:t>
      </w:r>
      <w:r>
        <w:rPr>
          <w:rFonts w:hint="default" w:ascii="Times New Roman" w:hAnsi="Times New Roman" w:cs="Times New Roman"/>
          <w:sz w:val="24"/>
        </w:rPr>
        <w:t>新建</w:t>
      </w:r>
    </w:p>
    <w:p>
      <w:pPr>
        <w:spacing w:line="360" w:lineRule="auto"/>
        <w:ind w:left="1651" w:leftChars="224" w:hanging="1181" w:hangingChars="490"/>
        <w:rPr>
          <w:rFonts w:hint="default" w:ascii="Times New Roman" w:hAnsi="Times New Roman" w:eastAsia="宋体" w:cs="Times New Roman"/>
          <w:sz w:val="24"/>
          <w:lang w:val="en-US" w:eastAsia="zh-CN"/>
        </w:rPr>
      </w:pPr>
      <w:r>
        <w:rPr>
          <w:rFonts w:hint="default" w:ascii="Times New Roman" w:hAnsi="Times New Roman" w:cs="Times New Roman"/>
          <w:b/>
          <w:sz w:val="24"/>
        </w:rPr>
        <w:t>建设单位：</w:t>
      </w:r>
      <w:r>
        <w:rPr>
          <w:rFonts w:hint="default" w:ascii="Times New Roman" w:hAnsi="Times New Roman" w:cs="Times New Roman"/>
          <w:sz w:val="24"/>
          <w:lang w:val="en-US" w:eastAsia="zh-CN"/>
        </w:rPr>
        <w:t>兴安盟生态环境局阿尔山市分局</w:t>
      </w:r>
    </w:p>
    <w:p>
      <w:pPr>
        <w:spacing w:line="360" w:lineRule="auto"/>
        <w:ind w:firstLine="482" w:firstLineChars="200"/>
        <w:rPr>
          <w:rFonts w:hint="default" w:ascii="Times New Roman" w:hAnsi="Times New Roman" w:cs="Times New Roman"/>
          <w:sz w:val="24"/>
          <w:szCs w:val="24"/>
          <w:vertAlign w:val="baseline"/>
        </w:rPr>
      </w:pPr>
      <w:r>
        <w:rPr>
          <w:rFonts w:hint="default" w:ascii="Times New Roman" w:hAnsi="Times New Roman" w:cs="Times New Roman"/>
          <w:b/>
          <w:sz w:val="24"/>
        </w:rPr>
        <w:t>建设内容：</w:t>
      </w:r>
      <w:r>
        <w:rPr>
          <w:rFonts w:hint="default" w:ascii="Times New Roman" w:hAnsi="Times New Roman" w:cs="Times New Roman"/>
          <w:sz w:val="24"/>
          <w:szCs w:val="24"/>
          <w:vertAlign w:val="baseline"/>
        </w:rPr>
        <w:t>项目总占地面积 2045 平方米，建筑面积 845.36平方米，</w:t>
      </w:r>
      <w:r>
        <w:rPr>
          <w:rFonts w:hint="default" w:ascii="Times New Roman" w:hAnsi="Times New Roman" w:cs="Times New Roman"/>
          <w:color w:val="auto"/>
          <w:sz w:val="24"/>
          <w:szCs w:val="24"/>
          <w:vertAlign w:val="baseline"/>
        </w:rPr>
        <w:t>购置两台处理设备，</w:t>
      </w:r>
      <w:r>
        <w:rPr>
          <w:rFonts w:hint="default" w:ascii="Times New Roman" w:hAnsi="Times New Roman" w:cs="Times New Roman"/>
          <w:sz w:val="24"/>
          <w:szCs w:val="24"/>
          <w:vertAlign w:val="baseline"/>
        </w:rPr>
        <w:t>垃圾贮存处理间</w:t>
      </w:r>
      <w:r>
        <w:rPr>
          <w:rFonts w:hint="default" w:ascii="Times New Roman" w:hAnsi="Times New Roman" w:cs="Times New Roman"/>
          <w:sz w:val="24"/>
          <w:szCs w:val="24"/>
          <w:vertAlign w:val="baseline"/>
          <w:lang w:val="en-US" w:eastAsia="zh-CN"/>
        </w:rPr>
        <w:t>总建筑面积343.52平方米，其中</w:t>
      </w:r>
      <w:r>
        <w:rPr>
          <w:rFonts w:hint="default" w:ascii="Times New Roman" w:hAnsi="Times New Roman" w:cs="Times New Roman"/>
          <w:sz w:val="24"/>
          <w:szCs w:val="24"/>
          <w:vertAlign w:val="baseline"/>
        </w:rPr>
        <w:t xml:space="preserve">处理车间 </w:t>
      </w:r>
      <w:r>
        <w:rPr>
          <w:rFonts w:hint="default" w:ascii="Times New Roman" w:hAnsi="Times New Roman" w:cs="Times New Roman"/>
          <w:sz w:val="24"/>
          <w:szCs w:val="24"/>
          <w:vertAlign w:val="baseline"/>
          <w:lang w:val="en-US" w:eastAsia="zh-CN"/>
        </w:rPr>
        <w:t>223.18</w:t>
      </w:r>
      <w:r>
        <w:rPr>
          <w:rFonts w:hint="default" w:ascii="Times New Roman" w:hAnsi="Times New Roman" w:cs="Times New Roman"/>
          <w:sz w:val="24"/>
          <w:szCs w:val="24"/>
          <w:vertAlign w:val="baseline"/>
        </w:rPr>
        <w:t>平方米，垃圾贮存间 120.34 平方米</w:t>
      </w:r>
      <w:r>
        <w:rPr>
          <w:rFonts w:hint="default" w:ascii="Times New Roman" w:hAnsi="Times New Roman" w:cs="Times New Roman"/>
          <w:sz w:val="24"/>
          <w:szCs w:val="24"/>
          <w:vertAlign w:val="baseline"/>
          <w:lang w:eastAsia="zh-CN"/>
        </w:rPr>
        <w:t>。</w:t>
      </w:r>
      <w:r>
        <w:rPr>
          <w:rFonts w:hint="default" w:ascii="Times New Roman" w:hAnsi="Times New Roman" w:cs="Times New Roman"/>
          <w:sz w:val="24"/>
          <w:szCs w:val="24"/>
          <w:vertAlign w:val="baseline"/>
        </w:rPr>
        <w:t xml:space="preserve">地面硬化 </w:t>
      </w:r>
      <w:r>
        <w:rPr>
          <w:rFonts w:hint="default" w:ascii="Times New Roman" w:hAnsi="Times New Roman" w:cs="Times New Roman"/>
          <w:sz w:val="24"/>
          <w:szCs w:val="24"/>
          <w:vertAlign w:val="baseline"/>
          <w:lang w:val="en-US" w:eastAsia="zh-CN"/>
        </w:rPr>
        <w:t>420.4</w:t>
      </w:r>
      <w:r>
        <w:rPr>
          <w:rFonts w:hint="default" w:ascii="Times New Roman" w:hAnsi="Times New Roman" w:cs="Times New Roman"/>
          <w:sz w:val="24"/>
          <w:szCs w:val="24"/>
          <w:vertAlign w:val="baseline"/>
        </w:rPr>
        <w:t xml:space="preserve">平方米、围栏 </w:t>
      </w:r>
      <w:r>
        <w:rPr>
          <w:rFonts w:hint="default" w:ascii="Times New Roman" w:hAnsi="Times New Roman" w:cs="Times New Roman"/>
          <w:sz w:val="24"/>
          <w:szCs w:val="24"/>
          <w:vertAlign w:val="baseline"/>
          <w:lang w:val="en-US" w:eastAsia="zh-CN"/>
        </w:rPr>
        <w:t>177.45</w:t>
      </w:r>
      <w:r>
        <w:rPr>
          <w:rFonts w:hint="default" w:ascii="Times New Roman" w:hAnsi="Times New Roman" w:cs="Times New Roman"/>
          <w:sz w:val="24"/>
          <w:szCs w:val="24"/>
          <w:vertAlign w:val="baseline"/>
        </w:rPr>
        <w:t>米，办公室、车库、监控室、药品贮存间、隔离间501.84 平方米。</w:t>
      </w:r>
    </w:p>
    <w:p>
      <w:pPr>
        <w:spacing w:line="360" w:lineRule="auto"/>
        <w:ind w:firstLine="482" w:firstLineChars="200"/>
        <w:rPr>
          <w:rFonts w:hint="default" w:ascii="Times New Roman" w:hAnsi="Times New Roman" w:cs="Times New Roman"/>
          <w:b w:val="0"/>
          <w:bCs w:val="0"/>
          <w:sz w:val="24"/>
          <w:szCs w:val="24"/>
          <w:lang w:val="en-US" w:eastAsia="zh-CN"/>
        </w:rPr>
      </w:pPr>
      <w:r>
        <w:rPr>
          <w:rFonts w:hint="default" w:ascii="Times New Roman" w:hAnsi="Times New Roman" w:cs="Times New Roman"/>
          <w:b/>
          <w:bCs/>
          <w:sz w:val="24"/>
          <w:szCs w:val="24"/>
          <w:lang w:val="en-US" w:eastAsia="zh-CN"/>
        </w:rPr>
        <w:t>建设规模：</w:t>
      </w:r>
      <w:r>
        <w:rPr>
          <w:rFonts w:hint="default" w:ascii="Times New Roman" w:hAnsi="Times New Roman" w:cs="Times New Roman"/>
          <w:b w:val="0"/>
          <w:bCs w:val="0"/>
          <w:sz w:val="24"/>
          <w:szCs w:val="24"/>
          <w:lang w:val="en-US" w:eastAsia="zh-CN"/>
        </w:rPr>
        <w:t>本项目采用国内先进高温蒸汽处置技术，处理规模为年处理医疗废物500吨（正常状况下日处理医疗废物1吨，出现疫情或口岸医疗废物量较大等状况下日处理量6吨），主要处理感染性、损伤性医疗废物。</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b w:val="0"/>
          <w:bCs w:val="0"/>
          <w:sz w:val="24"/>
          <w:szCs w:val="24"/>
          <w:lang w:val="en-US" w:eastAsia="zh-CN"/>
        </w:rPr>
        <w:t>建设地点：本项目建设地点位于阿尔山市生活垃圾填埋场西北侧，占地属于建设用地，场址中心坐标为</w:t>
      </w:r>
      <w:r>
        <w:rPr>
          <w:rFonts w:hint="default" w:ascii="Times New Roman" w:hAnsi="Times New Roman" w:cs="Times New Roman"/>
          <w:color w:val="000000"/>
          <w:sz w:val="24"/>
        </w:rPr>
        <w:t>E11</w:t>
      </w:r>
      <w:r>
        <w:rPr>
          <w:rFonts w:hint="default" w:ascii="Times New Roman" w:hAnsi="Times New Roman" w:cs="Times New Roman"/>
          <w:color w:val="000000"/>
          <w:sz w:val="24"/>
          <w:lang w:val="en-US" w:eastAsia="zh-CN"/>
        </w:rPr>
        <w:t>9</w:t>
      </w:r>
      <w:r>
        <w:rPr>
          <w:rFonts w:hint="default" w:ascii="Times New Roman" w:hAnsi="Times New Roman" w:cs="Times New Roman"/>
          <w:color w:val="000000"/>
          <w:sz w:val="24"/>
        </w:rPr>
        <w:t>°</w:t>
      </w:r>
      <w:r>
        <w:rPr>
          <w:rFonts w:hint="default" w:ascii="Times New Roman" w:hAnsi="Times New Roman" w:cs="Times New Roman"/>
          <w:color w:val="000000"/>
          <w:sz w:val="24"/>
          <w:lang w:val="en-US" w:eastAsia="zh-CN"/>
        </w:rPr>
        <w:t>4859.105</w:t>
      </w:r>
      <w:r>
        <w:rPr>
          <w:rFonts w:hint="default" w:ascii="Times New Roman" w:hAnsi="Times New Roman" w:cs="Times New Roman"/>
          <w:color w:val="000000"/>
          <w:sz w:val="24"/>
        </w:rPr>
        <w:t xml:space="preserve">"；N </w:t>
      </w:r>
      <w:r>
        <w:rPr>
          <w:rFonts w:hint="default" w:ascii="Times New Roman" w:hAnsi="Times New Roman" w:cs="Times New Roman"/>
          <w:color w:val="000000"/>
          <w:sz w:val="24"/>
          <w:lang w:val="en-US" w:eastAsia="zh-CN"/>
        </w:rPr>
        <w:t>47</w:t>
      </w:r>
      <w:r>
        <w:rPr>
          <w:rFonts w:hint="default" w:ascii="Times New Roman" w:hAnsi="Times New Roman" w:cs="Times New Roman"/>
          <w:color w:val="000000"/>
          <w:sz w:val="24"/>
        </w:rPr>
        <w:t>°</w:t>
      </w:r>
      <w:r>
        <w:rPr>
          <w:rFonts w:hint="default" w:ascii="Times New Roman" w:hAnsi="Times New Roman" w:cs="Times New Roman"/>
          <w:color w:val="000000"/>
          <w:sz w:val="24"/>
          <w:lang w:val="en-US" w:eastAsia="zh-CN"/>
        </w:rPr>
        <w:t>14</w:t>
      </w:r>
      <w:r>
        <w:rPr>
          <w:rFonts w:hint="default" w:ascii="Times New Roman" w:hAnsi="Times New Roman" w:cs="Times New Roman"/>
          <w:color w:val="000000"/>
          <w:sz w:val="24"/>
        </w:rPr>
        <w:t>'</w:t>
      </w:r>
      <w:r>
        <w:rPr>
          <w:rFonts w:hint="default" w:ascii="Times New Roman" w:hAnsi="Times New Roman" w:cs="Times New Roman"/>
          <w:color w:val="000000"/>
          <w:sz w:val="24"/>
          <w:lang w:val="en-US" w:eastAsia="zh-CN"/>
        </w:rPr>
        <w:t>37.795</w:t>
      </w:r>
      <w:r>
        <w:rPr>
          <w:rFonts w:hint="default" w:ascii="Times New Roman" w:hAnsi="Times New Roman" w:cs="Times New Roman"/>
          <w:color w:val="000000"/>
          <w:sz w:val="24"/>
        </w:rPr>
        <w:t>"。详见项目四周现状图见3.1-1，项目地理位置图3.1-2。</w:t>
      </w:r>
    </w:p>
    <w:p>
      <w:pPr>
        <w:spacing w:line="360" w:lineRule="auto"/>
        <w:ind w:firstLine="482" w:firstLineChars="200"/>
        <w:rPr>
          <w:rFonts w:hint="default" w:ascii="Times New Roman" w:hAnsi="Times New Roman" w:cs="Times New Roman"/>
          <w:b w:val="0"/>
          <w:bCs w:val="0"/>
          <w:sz w:val="24"/>
          <w:szCs w:val="24"/>
          <w:lang w:val="en-US" w:eastAsia="zh-CN"/>
        </w:rPr>
      </w:pPr>
      <w:r>
        <w:rPr>
          <w:rFonts w:hint="default" w:ascii="Times New Roman" w:hAnsi="Times New Roman" w:cs="Times New Roman"/>
          <w:b/>
          <w:bCs/>
          <w:sz w:val="24"/>
          <w:szCs w:val="24"/>
          <w:lang w:val="en-US" w:eastAsia="zh-CN"/>
        </w:rPr>
        <w:t>项目投资</w:t>
      </w:r>
      <w:r>
        <w:rPr>
          <w:rFonts w:hint="default" w:ascii="Times New Roman" w:hAnsi="Times New Roman" w:cs="Times New Roman"/>
          <w:b w:val="0"/>
          <w:bCs w:val="0"/>
          <w:sz w:val="24"/>
          <w:szCs w:val="24"/>
          <w:lang w:val="en-US" w:eastAsia="zh-CN"/>
        </w:rPr>
        <w:t>：</w:t>
      </w:r>
      <w:r>
        <w:rPr>
          <w:rFonts w:hint="default" w:ascii="Times New Roman" w:hAnsi="Times New Roman" w:cs="Times New Roman"/>
          <w:bCs/>
          <w:color w:val="000000"/>
          <w:sz w:val="24"/>
        </w:rPr>
        <w:t>项目计划总投资</w:t>
      </w:r>
      <w:r>
        <w:rPr>
          <w:rFonts w:hint="default" w:ascii="Times New Roman" w:hAnsi="Times New Roman" w:cs="Times New Roman"/>
          <w:bCs/>
          <w:color w:val="000000"/>
          <w:sz w:val="24"/>
          <w:lang w:val="en-US" w:eastAsia="zh-CN"/>
        </w:rPr>
        <w:t>920</w:t>
      </w:r>
      <w:r>
        <w:rPr>
          <w:rFonts w:hint="default" w:ascii="Times New Roman" w:hAnsi="Times New Roman" w:cs="Times New Roman"/>
          <w:bCs/>
          <w:color w:val="000000"/>
          <w:sz w:val="24"/>
        </w:rPr>
        <w:t>.00 万元，</w:t>
      </w:r>
      <w:r>
        <w:rPr>
          <w:rFonts w:hint="default" w:ascii="Times New Roman" w:hAnsi="Times New Roman" w:cs="Times New Roman"/>
          <w:color w:val="000000"/>
          <w:sz w:val="24"/>
          <w:highlight w:val="none"/>
        </w:rPr>
        <w:t>其中环保投资为62.75万元，占总投资的</w:t>
      </w:r>
      <w:r>
        <w:rPr>
          <w:rFonts w:hint="default" w:ascii="Times New Roman" w:hAnsi="Times New Roman" w:cs="Times New Roman"/>
          <w:color w:val="000000"/>
          <w:sz w:val="24"/>
          <w:highlight w:val="none"/>
          <w:lang w:val="en-US" w:eastAsia="zh-CN"/>
        </w:rPr>
        <w:t>6.82</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rPr>
        <w:t>。</w:t>
      </w:r>
    </w:p>
    <w:p>
      <w:pPr>
        <w:spacing w:line="360" w:lineRule="auto"/>
        <w:ind w:firstLine="482" w:firstLineChars="200"/>
        <w:rPr>
          <w:rFonts w:hint="default" w:ascii="Times New Roman" w:hAnsi="Times New Roman" w:cs="Times New Roman"/>
          <w:b w:val="0"/>
          <w:bCs w:val="0"/>
          <w:sz w:val="24"/>
          <w:szCs w:val="24"/>
          <w:lang w:val="en-US" w:eastAsia="zh-CN"/>
        </w:rPr>
      </w:pPr>
      <w:r>
        <w:rPr>
          <w:rFonts w:hint="default" w:ascii="Times New Roman" w:hAnsi="Times New Roman" w:cs="Times New Roman"/>
          <w:b/>
          <w:bCs/>
          <w:sz w:val="24"/>
          <w:szCs w:val="24"/>
          <w:lang w:val="en-US" w:eastAsia="zh-CN"/>
        </w:rPr>
        <w:t>项目</w:t>
      </w:r>
      <w:r>
        <w:rPr>
          <w:rFonts w:hint="eastAsia" w:ascii="Times New Roman" w:hAnsi="Times New Roman" w:cs="Times New Roman"/>
          <w:b/>
          <w:bCs/>
          <w:sz w:val="24"/>
          <w:szCs w:val="24"/>
          <w:lang w:val="en-US" w:eastAsia="zh-CN"/>
        </w:rPr>
        <w:t>建设</w:t>
      </w:r>
      <w:r>
        <w:rPr>
          <w:rFonts w:hint="default" w:ascii="Times New Roman" w:hAnsi="Times New Roman" w:cs="Times New Roman"/>
          <w:b/>
          <w:bCs/>
          <w:sz w:val="24"/>
          <w:szCs w:val="24"/>
          <w:lang w:val="en-US" w:eastAsia="zh-CN"/>
        </w:rPr>
        <w:t>周期</w:t>
      </w:r>
      <w:r>
        <w:rPr>
          <w:rFonts w:hint="default" w:ascii="Times New Roman" w:hAnsi="Times New Roman" w:cs="Times New Roman"/>
          <w:b w:val="0"/>
          <w:bCs w:val="0"/>
          <w:sz w:val="24"/>
          <w:szCs w:val="24"/>
          <w:lang w:val="en-US" w:eastAsia="zh-CN"/>
        </w:rPr>
        <w:t>：2024年5月—2024年12月</w:t>
      </w:r>
    </w:p>
    <w:p>
      <w:pPr>
        <w:spacing w:line="360" w:lineRule="auto"/>
        <w:ind w:firstLine="480" w:firstLineChars="200"/>
        <w:rPr>
          <w:rFonts w:hint="default" w:ascii="Times New Roman" w:hAnsi="Times New Roman" w:eastAsia="宋体" w:cs="Times New Roman"/>
          <w:b w:val="0"/>
          <w:bCs w:val="0"/>
          <w:sz w:val="24"/>
          <w:szCs w:val="24"/>
          <w:lang w:val="en-US" w:eastAsia="zh-CN"/>
        </w:rPr>
      </w:pPr>
    </w:p>
    <w:p>
      <w:pPr>
        <w:pStyle w:val="2"/>
        <w:spacing w:line="360" w:lineRule="auto"/>
        <w:rPr>
          <w:rFonts w:hint="default" w:ascii="Times New Roman" w:hAnsi="Times New Roman" w:eastAsia="宋体" w:cs="Times New Roman"/>
          <w:b w:val="0"/>
          <w:bCs w:val="0"/>
          <w:sz w:val="24"/>
          <w:szCs w:val="24"/>
          <w:lang w:val="en-US" w:eastAsia="zh-CN"/>
        </w:rPr>
      </w:pPr>
    </w:p>
    <w:p>
      <w:pPr>
        <w:pStyle w:val="3"/>
        <w:spacing w:line="360" w:lineRule="auto"/>
        <w:outlineLvl w:val="9"/>
        <w:rPr>
          <w:rFonts w:hint="default" w:ascii="Times New Roman" w:hAnsi="Times New Roman" w:eastAsia="宋体" w:cs="Times New Roman"/>
          <w:b w:val="0"/>
          <w:bCs w:val="0"/>
          <w:sz w:val="24"/>
          <w:szCs w:val="24"/>
          <w:lang w:val="en-US" w:eastAsia="zh-CN"/>
        </w:rPr>
      </w:pPr>
    </w:p>
    <w:p>
      <w:pPr>
        <w:spacing w:line="360" w:lineRule="auto"/>
        <w:rPr>
          <w:rFonts w:hint="default" w:ascii="Times New Roman" w:hAnsi="Times New Roman" w:cs="Times New Roman"/>
          <w:b w:val="0"/>
          <w:bCs w:val="0"/>
          <w:sz w:val="24"/>
          <w:szCs w:val="24"/>
          <w:lang w:val="en-US" w:eastAsia="zh-CN"/>
        </w:rPr>
      </w:pPr>
    </w:p>
    <w:p>
      <w:pPr>
        <w:spacing w:line="360" w:lineRule="auto"/>
        <w:rPr>
          <w:rFonts w:hint="default" w:ascii="Times New Roman" w:hAnsi="Times New Roman" w:cs="Times New Roman"/>
          <w:b w:val="0"/>
          <w:bCs w:val="0"/>
          <w:sz w:val="24"/>
          <w:szCs w:val="24"/>
          <w:lang w:val="en-US" w:eastAsia="zh-CN"/>
        </w:rPr>
      </w:pPr>
    </w:p>
    <w:p>
      <w:pPr>
        <w:pStyle w:val="6"/>
        <w:bidi w:val="0"/>
        <w:spacing w:line="360" w:lineRule="auto"/>
        <w:rPr>
          <w:rFonts w:hint="default" w:ascii="Times New Roman" w:hAnsi="Times New Roman" w:cs="Times New Roman"/>
          <w:sz w:val="28"/>
          <w:szCs w:val="28"/>
          <w:lang w:val="en-US" w:eastAsia="zh-CN"/>
        </w:rPr>
      </w:pPr>
      <w:bookmarkStart w:id="48" w:name="_Toc9491"/>
      <w:r>
        <w:rPr>
          <w:rFonts w:hint="default" w:ascii="Times New Roman" w:hAnsi="Times New Roman" w:cs="Times New Roman"/>
          <w:sz w:val="28"/>
          <w:szCs w:val="28"/>
          <w:lang w:val="en-US" w:eastAsia="zh-CN"/>
        </w:rPr>
        <w:t>2.1.2 建设规模及产品方案</w:t>
      </w:r>
      <w:bookmarkEnd w:id="48"/>
    </w:p>
    <w:p>
      <w:pPr>
        <w:pStyle w:val="3"/>
        <w:bidi w:val="0"/>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2.1.2.1 建设规模</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根据可行性研究报告，经过对</w:t>
      </w:r>
      <w:r>
        <w:rPr>
          <w:rFonts w:hint="default" w:ascii="Times New Roman" w:hAnsi="Times New Roman" w:cs="Times New Roman"/>
          <w:color w:val="auto"/>
          <w:sz w:val="24"/>
          <w:lang w:val="en-US" w:eastAsia="zh-CN"/>
        </w:rPr>
        <w:t>阿尔山市</w:t>
      </w:r>
      <w:r>
        <w:rPr>
          <w:rFonts w:hint="default" w:ascii="Times New Roman" w:hAnsi="Times New Roman" w:cs="Times New Roman"/>
          <w:color w:val="auto"/>
          <w:sz w:val="24"/>
        </w:rPr>
        <w:t>现场调研和预测，20</w:t>
      </w:r>
      <w:r>
        <w:rPr>
          <w:rFonts w:hint="default" w:ascii="Times New Roman" w:hAnsi="Times New Roman" w:cs="Times New Roman"/>
          <w:color w:val="auto"/>
          <w:sz w:val="24"/>
          <w:lang w:val="en-US" w:eastAsia="zh-CN"/>
        </w:rPr>
        <w:t>22</w:t>
      </w:r>
      <w:r>
        <w:rPr>
          <w:rFonts w:hint="default" w:ascii="Times New Roman" w:hAnsi="Times New Roman" w:cs="Times New Roman"/>
          <w:color w:val="auto"/>
          <w:sz w:val="24"/>
        </w:rPr>
        <w:t>年医疗废弃物产生量约为0.</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吨/日</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阿尔山市口岸每日需对货物进行检疫除害处理，当前口岸内工作人员均二级防护，口岸内工作人员为65人，每日产生医疗垃圾（生活垃圾需 要当作医疗垃圾处理）按照每人次约为3公斤，每日为195公斤。检疫除害处理1吨货物，产生的医疗垃圾为15公斤其中包括：消毒药品包装物、配置后剩余的药品、采样检测的货物、消杀人员的防护用品、被污染的工作服等，日均为4.11吨。因此阿尔山市口岸每日需处理医疗垃圾量为4.305吨。</w:t>
      </w:r>
      <w:r>
        <w:rPr>
          <w:rFonts w:hint="default" w:ascii="Times New Roman" w:hAnsi="Times New Roman" w:cs="Times New Roman"/>
          <w:color w:val="auto"/>
          <w:sz w:val="24"/>
        </w:rPr>
        <w:t>本项目</w:t>
      </w:r>
      <w:r>
        <w:rPr>
          <w:rFonts w:hint="default" w:ascii="Times New Roman" w:hAnsi="Times New Roman" w:cs="Times New Roman"/>
          <w:color w:val="auto"/>
          <w:sz w:val="24"/>
          <w:lang w:val="en-US" w:eastAsia="zh-CN"/>
        </w:rPr>
        <w:t>医疗废物处理最大量</w:t>
      </w:r>
      <w:r>
        <w:rPr>
          <w:rFonts w:hint="default" w:ascii="Times New Roman" w:hAnsi="Times New Roman" w:cs="Times New Roman"/>
          <w:color w:val="auto"/>
          <w:sz w:val="24"/>
        </w:rPr>
        <w:t>为</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吨/日（</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00吨/年），可满足目前医疗废弃物及</w:t>
      </w:r>
      <w:r>
        <w:rPr>
          <w:rFonts w:hint="default" w:ascii="Times New Roman" w:hAnsi="Times New Roman" w:cs="Times New Roman"/>
          <w:color w:val="auto"/>
          <w:sz w:val="24"/>
          <w:lang w:val="en-US" w:eastAsia="zh-CN"/>
        </w:rPr>
        <w:t>口岸</w:t>
      </w:r>
      <w:r>
        <w:rPr>
          <w:rFonts w:hint="default" w:ascii="Times New Roman" w:hAnsi="Times New Roman" w:cs="Times New Roman"/>
          <w:color w:val="auto"/>
          <w:sz w:val="24"/>
        </w:rPr>
        <w:t>医疗废弃物处置量的要求。</w:t>
      </w:r>
    </w:p>
    <w:p>
      <w:pPr>
        <w:pStyle w:val="3"/>
        <w:bidi w:val="0"/>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2.1.2.2 产品方案及去向</w:t>
      </w:r>
    </w:p>
    <w:p>
      <w:pPr>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sz w:val="24"/>
        </w:rPr>
        <w:t>根据《生活垃圾填埋场污染控制标准》（GB16889-2008）中6.2《医疗废物分类名录》中的感染性</w:t>
      </w:r>
      <w:r>
        <w:rPr>
          <w:rFonts w:hint="default" w:ascii="Times New Roman" w:hAnsi="Times New Roman" w:eastAsia="宋体" w:cs="Times New Roman"/>
          <w:b w:val="0"/>
          <w:bCs w:val="0"/>
          <w:color w:val="auto"/>
          <w:sz w:val="24"/>
        </w:rPr>
        <w:t>废物按照HJ</w:t>
      </w:r>
      <w:r>
        <w:rPr>
          <w:rFonts w:hint="default" w:ascii="Times New Roman" w:hAnsi="Times New Roman" w:eastAsia="宋体" w:cs="Times New Roman"/>
          <w:b w:val="0"/>
          <w:bCs w:val="0"/>
          <w:color w:val="auto"/>
          <w:sz w:val="24"/>
          <w:lang w:val="en-US" w:eastAsia="zh-CN"/>
        </w:rPr>
        <w:t>276</w:t>
      </w:r>
      <w:r>
        <w:rPr>
          <w:rFonts w:hint="default" w:ascii="Times New Roman" w:hAnsi="Times New Roman" w:eastAsia="宋体" w:cs="Times New Roman"/>
          <w:b w:val="0"/>
          <w:bCs w:val="0"/>
          <w:color w:val="auto"/>
          <w:sz w:val="24"/>
        </w:rPr>
        <w:t>要求进行</w:t>
      </w:r>
      <w:r>
        <w:rPr>
          <w:rFonts w:hint="default" w:ascii="Times New Roman" w:hAnsi="Times New Roman" w:eastAsia="宋体" w:cs="Times New Roman"/>
          <w:b w:val="0"/>
          <w:bCs w:val="0"/>
          <w:color w:val="auto"/>
          <w:sz w:val="24"/>
          <w:lang w:val="en-US" w:eastAsia="zh-CN"/>
        </w:rPr>
        <w:t>高温消毒</w:t>
      </w:r>
      <w:r>
        <w:rPr>
          <w:rFonts w:hint="default" w:ascii="Times New Roman" w:hAnsi="Times New Roman" w:eastAsia="宋体" w:cs="Times New Roman"/>
          <w:b w:val="0"/>
          <w:bCs w:val="0"/>
          <w:color w:val="auto"/>
          <w:sz w:val="24"/>
        </w:rPr>
        <w:t>消毒处理</w:t>
      </w:r>
      <w:r>
        <w:rPr>
          <w:rFonts w:hint="default" w:ascii="Times New Roman" w:hAnsi="Times New Roman" w:eastAsia="宋体" w:cs="Times New Roman"/>
          <w:b w:val="0"/>
          <w:bCs w:val="0"/>
          <w:color w:val="auto"/>
          <w:sz w:val="24"/>
          <w:lang w:val="en-US" w:eastAsia="zh-CN"/>
        </w:rPr>
        <w:t>及破碎毁形</w:t>
      </w:r>
      <w:r>
        <w:rPr>
          <w:rFonts w:hint="default" w:ascii="Times New Roman" w:hAnsi="Times New Roman" w:eastAsia="宋体" w:cs="Times New Roman"/>
          <w:b w:val="0"/>
          <w:bCs w:val="0"/>
          <w:color w:val="auto"/>
          <w:sz w:val="24"/>
        </w:rPr>
        <w:t>，并满足消毒效果检验指标后，进入生活垃圾填埋场填埋处置。</w:t>
      </w:r>
    </w:p>
    <w:p>
      <w:pPr>
        <w:spacing w:line="360" w:lineRule="auto"/>
        <w:ind w:firstLine="480" w:firstLineChars="200"/>
        <w:rPr>
          <w:rFonts w:hint="default" w:ascii="Times New Roman" w:hAnsi="Times New Roman" w:eastAsia="宋体" w:cs="Times New Roman"/>
          <w:b w:val="0"/>
          <w:bCs w:val="0"/>
          <w:color w:val="auto"/>
          <w:sz w:val="24"/>
          <w:highlight w:val="none"/>
          <w:lang w:eastAsia="zh-CN"/>
        </w:rPr>
      </w:pPr>
      <w:r>
        <w:rPr>
          <w:rFonts w:hint="default" w:ascii="Times New Roman" w:hAnsi="Times New Roman" w:cs="Times New Roman"/>
          <w:b w:val="0"/>
          <w:bCs w:val="0"/>
          <w:color w:val="auto"/>
          <w:sz w:val="24"/>
          <w:szCs w:val="24"/>
          <w:highlight w:val="none"/>
          <w:lang w:eastAsia="zh-CN"/>
        </w:rPr>
        <w:t>损伤性废物在《国家危险废物名录》（2021年版）属于豁免类，豁免清要求</w:t>
      </w:r>
      <w:r>
        <w:rPr>
          <w:rFonts w:hint="default" w:ascii="Times New Roman" w:hAnsi="Times New Roman" w:cs="Times New Roman"/>
          <w:b w:val="0"/>
          <w:bCs w:val="0"/>
          <w:color w:val="auto"/>
          <w:sz w:val="24"/>
          <w:highlight w:val="none"/>
          <w:lang w:eastAsia="zh-CN"/>
        </w:rPr>
        <w:t>为</w:t>
      </w:r>
      <w:r>
        <w:rPr>
          <w:rFonts w:hint="default" w:ascii="Times New Roman" w:hAnsi="Times New Roman" w:cs="Times New Roman"/>
          <w:b w:val="0"/>
          <w:bCs w:val="0"/>
          <w:color w:val="auto"/>
          <w:sz w:val="24"/>
          <w:szCs w:val="24"/>
          <w:highlight w:val="none"/>
          <w:lang w:eastAsia="zh-CN"/>
        </w:rPr>
        <w:t>损伤性废物按照《医疗废物</w:t>
      </w:r>
      <w:r>
        <w:rPr>
          <w:rFonts w:hint="default" w:ascii="Times New Roman" w:hAnsi="Times New Roman" w:cs="Times New Roman"/>
          <w:b w:val="0"/>
          <w:bCs w:val="0"/>
          <w:color w:val="auto"/>
          <w:sz w:val="24"/>
          <w:szCs w:val="24"/>
          <w:highlight w:val="none"/>
          <w:lang w:val="en-US" w:eastAsia="zh-CN"/>
        </w:rPr>
        <w:t>高温蒸汽</w:t>
      </w:r>
      <w:r>
        <w:rPr>
          <w:rFonts w:hint="default" w:ascii="Times New Roman" w:hAnsi="Times New Roman" w:cs="Times New Roman"/>
          <w:b w:val="0"/>
          <w:bCs w:val="0"/>
          <w:color w:val="auto"/>
          <w:sz w:val="24"/>
          <w:szCs w:val="24"/>
          <w:highlight w:val="none"/>
          <w:lang w:eastAsia="zh-CN"/>
        </w:rPr>
        <w:t>消毒集中处理工程技术规范》</w:t>
      </w:r>
      <w:r>
        <w:rPr>
          <w:rFonts w:hint="default" w:ascii="Times New Roman" w:hAnsi="Times New Roman" w:cs="Times New Roman"/>
          <w:b w:val="0"/>
          <w:bCs w:val="0"/>
          <w:color w:val="auto"/>
          <w:sz w:val="24"/>
          <w:szCs w:val="24"/>
          <w:highlight w:val="none"/>
        </w:rPr>
        <w:t>（HJ</w:t>
      </w:r>
      <w:r>
        <w:rPr>
          <w:rFonts w:hint="default" w:ascii="Times New Roman" w:hAnsi="Times New Roman" w:cs="Times New Roman"/>
          <w:b w:val="0"/>
          <w:bCs w:val="0"/>
          <w:color w:val="auto"/>
          <w:sz w:val="24"/>
          <w:szCs w:val="24"/>
          <w:highlight w:val="none"/>
          <w:lang w:val="en-US" w:eastAsia="zh-CN"/>
        </w:rPr>
        <w:t>276</w:t>
      </w:r>
      <w:r>
        <w:rPr>
          <w:rFonts w:hint="default" w:ascii="Times New Roman" w:hAnsi="Times New Roman" w:cs="Times New Roman"/>
          <w:b w:val="0"/>
          <w:bCs w:val="0"/>
          <w:color w:val="auto"/>
          <w:sz w:val="24"/>
          <w:szCs w:val="24"/>
          <w:highlight w:val="none"/>
        </w:rPr>
        <w:t>-2021）</w:t>
      </w:r>
      <w:r>
        <w:rPr>
          <w:rFonts w:hint="default" w:ascii="Times New Roman" w:hAnsi="Times New Roman" w:cs="Times New Roman"/>
          <w:b w:val="0"/>
          <w:bCs w:val="0"/>
          <w:color w:val="auto"/>
          <w:sz w:val="24"/>
          <w:szCs w:val="24"/>
          <w:highlight w:val="none"/>
          <w:lang w:eastAsia="zh-CN"/>
        </w:rPr>
        <w:t>处理后进入生活垃圾填埋场运输处置过程不按照危险废物管理。</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color w:val="auto"/>
          <w:sz w:val="24"/>
        </w:rPr>
        <w:t>本项目主要处理感染性、损伤性医疗废物，化学性、药物性医废送至有相关资质的危险废物处理中心处理，人体器官和传染性的动物尸体送至火</w:t>
      </w:r>
      <w:r>
        <w:rPr>
          <w:rFonts w:hint="default" w:ascii="Times New Roman" w:hAnsi="Times New Roman" w:cs="Times New Roman"/>
          <w:sz w:val="24"/>
        </w:rPr>
        <w:t>葬场处理，均由医疗机构自行与最终处置单位签订协议，不属于本环评评价范围。</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故本项目</w:t>
      </w:r>
      <w:r>
        <w:rPr>
          <w:rFonts w:hint="default" w:ascii="Times New Roman" w:hAnsi="Times New Roman" w:cs="Times New Roman"/>
          <w:sz w:val="24"/>
          <w:lang w:val="en-US" w:eastAsia="zh-CN"/>
        </w:rPr>
        <w:t>高温蒸汽</w:t>
      </w:r>
      <w:r>
        <w:rPr>
          <w:rFonts w:hint="default" w:ascii="Times New Roman" w:hAnsi="Times New Roman" w:cs="Times New Roman"/>
          <w:sz w:val="24"/>
        </w:rPr>
        <w:t>消毒系统处理后的医疗废物满足消毒效果检验指标后进入</w:t>
      </w:r>
      <w:r>
        <w:rPr>
          <w:rFonts w:hint="default" w:ascii="Times New Roman" w:hAnsi="Times New Roman" w:cs="Times New Roman"/>
          <w:sz w:val="24"/>
          <w:lang w:val="en-US" w:eastAsia="zh-CN"/>
        </w:rPr>
        <w:t>阿尔山市</w:t>
      </w:r>
      <w:r>
        <w:rPr>
          <w:rFonts w:hint="default" w:ascii="Times New Roman" w:hAnsi="Times New Roman" w:cs="Times New Roman"/>
          <w:sz w:val="24"/>
        </w:rPr>
        <w:t>生活垃圾填埋场填埋处理。</w:t>
      </w:r>
    </w:p>
    <w:p>
      <w:pPr>
        <w:pStyle w:val="6"/>
        <w:bidi w:val="0"/>
        <w:spacing w:line="360" w:lineRule="auto"/>
        <w:rPr>
          <w:rFonts w:hint="default" w:ascii="Times New Roman" w:hAnsi="Times New Roman" w:cs="Times New Roman"/>
          <w:sz w:val="28"/>
          <w:szCs w:val="28"/>
          <w:lang w:val="en-US" w:eastAsia="zh-CN"/>
        </w:rPr>
      </w:pPr>
      <w:bookmarkStart w:id="49" w:name="_Toc14238"/>
      <w:r>
        <w:rPr>
          <w:rFonts w:hint="default" w:ascii="Times New Roman" w:hAnsi="Times New Roman" w:cs="Times New Roman"/>
          <w:sz w:val="28"/>
          <w:szCs w:val="28"/>
          <w:lang w:val="en-US" w:eastAsia="zh-CN"/>
        </w:rPr>
        <w:t>2.1.3 项目组成</w:t>
      </w:r>
      <w:bookmarkEnd w:id="49"/>
    </w:p>
    <w:p>
      <w:pPr>
        <w:spacing w:line="360" w:lineRule="auto"/>
        <w:ind w:firstLine="480" w:firstLineChars="200"/>
        <w:rPr>
          <w:rFonts w:hint="default" w:ascii="Times New Roman" w:hAnsi="Times New Roman" w:cs="Times New Roman"/>
          <w:sz w:val="24"/>
          <w:szCs w:val="24"/>
          <w:vertAlign w:val="baseline"/>
        </w:rPr>
      </w:pPr>
      <w:r>
        <w:rPr>
          <w:rFonts w:hint="default" w:ascii="Times New Roman" w:hAnsi="Times New Roman" w:cs="Times New Roman"/>
          <w:sz w:val="24"/>
          <w:szCs w:val="24"/>
          <w:lang w:val="en-US" w:eastAsia="zh-CN"/>
        </w:rPr>
        <w:t>本项目主要建设内容包括：</w:t>
      </w:r>
      <w:r>
        <w:rPr>
          <w:rFonts w:hint="default" w:ascii="Times New Roman" w:hAnsi="Times New Roman" w:cs="Times New Roman"/>
          <w:sz w:val="24"/>
        </w:rPr>
        <w:t>本项目主要由主体工程、公辅工程及环保工程组成。</w:t>
      </w:r>
      <w:r>
        <w:rPr>
          <w:rFonts w:hint="default" w:ascii="Times New Roman" w:hAnsi="Times New Roman" w:cs="Times New Roman"/>
          <w:sz w:val="24"/>
          <w:szCs w:val="24"/>
          <w:vertAlign w:val="baseline"/>
        </w:rPr>
        <w:t>建筑面积 845.36平方米，</w:t>
      </w:r>
      <w:r>
        <w:rPr>
          <w:rFonts w:hint="default" w:ascii="Times New Roman" w:hAnsi="Times New Roman" w:cs="Times New Roman"/>
          <w:color w:val="auto"/>
          <w:sz w:val="24"/>
          <w:szCs w:val="24"/>
          <w:vertAlign w:val="baseline"/>
        </w:rPr>
        <w:t>购置两台处理设备，</w:t>
      </w:r>
      <w:r>
        <w:rPr>
          <w:rFonts w:hint="default" w:ascii="Times New Roman" w:hAnsi="Times New Roman" w:cs="Times New Roman"/>
          <w:sz w:val="24"/>
          <w:szCs w:val="24"/>
          <w:vertAlign w:val="baseline"/>
        </w:rPr>
        <w:t>垃圾贮存处理间</w:t>
      </w:r>
      <w:r>
        <w:rPr>
          <w:rFonts w:hint="default" w:ascii="Times New Roman" w:hAnsi="Times New Roman" w:cs="Times New Roman"/>
          <w:sz w:val="24"/>
          <w:szCs w:val="24"/>
          <w:vertAlign w:val="baseline"/>
          <w:lang w:val="en-US" w:eastAsia="zh-CN"/>
        </w:rPr>
        <w:t>总建筑面积343.52平方米，其中</w:t>
      </w:r>
      <w:r>
        <w:rPr>
          <w:rFonts w:hint="default" w:ascii="Times New Roman" w:hAnsi="Times New Roman" w:cs="Times New Roman"/>
          <w:sz w:val="24"/>
          <w:szCs w:val="24"/>
          <w:vertAlign w:val="baseline"/>
        </w:rPr>
        <w:t xml:space="preserve">处理车间 </w:t>
      </w:r>
      <w:r>
        <w:rPr>
          <w:rFonts w:hint="default" w:ascii="Times New Roman" w:hAnsi="Times New Roman" w:cs="Times New Roman"/>
          <w:sz w:val="24"/>
          <w:szCs w:val="24"/>
          <w:vertAlign w:val="baseline"/>
          <w:lang w:val="en-US" w:eastAsia="zh-CN"/>
        </w:rPr>
        <w:t>223.18</w:t>
      </w:r>
      <w:r>
        <w:rPr>
          <w:rFonts w:hint="default" w:ascii="Times New Roman" w:hAnsi="Times New Roman" w:cs="Times New Roman"/>
          <w:sz w:val="24"/>
          <w:szCs w:val="24"/>
          <w:vertAlign w:val="baseline"/>
        </w:rPr>
        <w:t>平方米，垃圾贮存间 120.34 平方米</w:t>
      </w:r>
      <w:r>
        <w:rPr>
          <w:rFonts w:hint="default" w:ascii="Times New Roman" w:hAnsi="Times New Roman" w:cs="Times New Roman"/>
          <w:sz w:val="24"/>
          <w:szCs w:val="24"/>
          <w:vertAlign w:val="baseline"/>
          <w:lang w:eastAsia="zh-CN"/>
        </w:rPr>
        <w:t>。</w:t>
      </w:r>
      <w:r>
        <w:rPr>
          <w:rFonts w:hint="default" w:ascii="Times New Roman" w:hAnsi="Times New Roman" w:cs="Times New Roman"/>
          <w:sz w:val="24"/>
          <w:szCs w:val="24"/>
          <w:vertAlign w:val="baseline"/>
        </w:rPr>
        <w:t xml:space="preserve">地面硬化 </w:t>
      </w:r>
      <w:r>
        <w:rPr>
          <w:rFonts w:hint="default" w:ascii="Times New Roman" w:hAnsi="Times New Roman" w:cs="Times New Roman"/>
          <w:sz w:val="24"/>
          <w:szCs w:val="24"/>
          <w:vertAlign w:val="baseline"/>
          <w:lang w:val="en-US" w:eastAsia="zh-CN"/>
        </w:rPr>
        <w:t>420.4</w:t>
      </w:r>
      <w:r>
        <w:rPr>
          <w:rFonts w:hint="default" w:ascii="Times New Roman" w:hAnsi="Times New Roman" w:cs="Times New Roman"/>
          <w:sz w:val="24"/>
          <w:szCs w:val="24"/>
          <w:vertAlign w:val="baseline"/>
        </w:rPr>
        <w:t xml:space="preserve">平方米、围栏 </w:t>
      </w:r>
      <w:r>
        <w:rPr>
          <w:rFonts w:hint="default" w:ascii="Times New Roman" w:hAnsi="Times New Roman" w:cs="Times New Roman"/>
          <w:sz w:val="24"/>
          <w:szCs w:val="24"/>
          <w:vertAlign w:val="baseline"/>
          <w:lang w:val="en-US" w:eastAsia="zh-CN"/>
        </w:rPr>
        <w:t>177.45</w:t>
      </w:r>
      <w:r>
        <w:rPr>
          <w:rFonts w:hint="default" w:ascii="Times New Roman" w:hAnsi="Times New Roman" w:cs="Times New Roman"/>
          <w:sz w:val="24"/>
          <w:szCs w:val="24"/>
          <w:vertAlign w:val="baseline"/>
        </w:rPr>
        <w:t>米，办公室、车库、监控室、药品贮存间、隔离间501.84 平方米。</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项目组成表见2.1-1。</w:t>
      </w:r>
    </w:p>
    <w:p>
      <w:pPr>
        <w:spacing w:line="360" w:lineRule="auto"/>
        <w:rPr>
          <w:rFonts w:hint="default" w:ascii="Times New Roman" w:hAnsi="Times New Roman" w:eastAsia="宋体" w:cs="Times New Roman"/>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adjustRightInd w:val="0"/>
        <w:snapToGrid w:val="0"/>
        <w:spacing w:line="360" w:lineRule="auto"/>
        <w:jc w:val="center"/>
        <w:rPr>
          <w:rFonts w:hint="default" w:ascii="Times New Roman" w:hAnsi="Times New Roman" w:cs="Times New Roman"/>
          <w:b/>
          <w:szCs w:val="21"/>
        </w:rPr>
      </w:pPr>
      <w:bookmarkStart w:id="50" w:name="_Hlk37661013"/>
      <w:r>
        <w:rPr>
          <w:rFonts w:hint="default" w:ascii="Times New Roman" w:hAnsi="Times New Roman" w:cs="Times New Roman"/>
          <w:b/>
          <w:szCs w:val="21"/>
        </w:rPr>
        <w:t>表2.1-3      项目组成一览表</w:t>
      </w:r>
    </w:p>
    <w:tbl>
      <w:tblPr>
        <w:tblStyle w:val="20"/>
        <w:tblW w:w="4936" w:type="pct"/>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24"/>
        <w:gridCol w:w="1013"/>
        <w:gridCol w:w="1014"/>
        <w:gridCol w:w="9862"/>
        <w:gridCol w:w="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5" w:type="pct"/>
            <w:gridSpan w:val="4"/>
            <w:noWrap w:val="0"/>
            <w:vAlign w:val="center"/>
          </w:tcPr>
          <w:p>
            <w:pPr>
              <w:adjustRightInd w:val="0"/>
              <w:snapToGrid w:val="0"/>
              <w:spacing w:line="36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工程项目</w:t>
            </w:r>
          </w:p>
        </w:tc>
        <w:tc>
          <w:tcPr>
            <w:tcW w:w="3523" w:type="pct"/>
            <w:noWrap w:val="0"/>
            <w:vAlign w:val="center"/>
          </w:tcPr>
          <w:p>
            <w:pPr>
              <w:adjustRightInd w:val="0"/>
              <w:snapToGrid w:val="0"/>
              <w:spacing w:line="36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工程建设内容及规模</w:t>
            </w:r>
          </w:p>
        </w:tc>
        <w:tc>
          <w:tcPr>
            <w:tcW w:w="290" w:type="pct"/>
            <w:noWrap w:val="0"/>
            <w:vAlign w:val="center"/>
          </w:tcPr>
          <w:p>
            <w:pPr>
              <w:adjustRightInd w:val="0"/>
              <w:snapToGrid w:val="0"/>
              <w:spacing w:line="36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7" w:type="pct"/>
            <w:vMerge w:val="restart"/>
            <w:noWrap w:val="0"/>
            <w:vAlign w:val="center"/>
          </w:tcPr>
          <w:p>
            <w:pPr>
              <w:adjustRightInd w:val="0"/>
              <w:snapToGrid w:val="0"/>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主体工程</w:t>
            </w:r>
          </w:p>
        </w:tc>
        <w:tc>
          <w:tcPr>
            <w:tcW w:w="294" w:type="pct"/>
            <w:vMerge w:val="restart"/>
            <w:noWrap w:val="0"/>
            <w:vAlign w:val="center"/>
          </w:tcPr>
          <w:p>
            <w:pPr>
              <w:adjustRightInd w:val="0"/>
              <w:snapToGrid w:val="0"/>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垃圾贮存处理间</w:t>
            </w:r>
            <w:r>
              <w:rPr>
                <w:rFonts w:hint="default" w:ascii="Times New Roman" w:hAnsi="Times New Roman" w:cs="Times New Roman"/>
                <w:bCs/>
                <w:sz w:val="21"/>
                <w:szCs w:val="21"/>
              </w:rPr>
              <w:t>（建筑面积</w:t>
            </w:r>
            <w:r>
              <w:rPr>
                <w:rFonts w:hint="default" w:ascii="Times New Roman" w:hAnsi="Times New Roman" w:cs="Times New Roman"/>
                <w:sz w:val="21"/>
                <w:szCs w:val="21"/>
                <w:vertAlign w:val="baseline"/>
                <w:lang w:val="en-US" w:eastAsia="zh-CN"/>
              </w:rPr>
              <w:t>343.52</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r>
              <w:rPr>
                <w:rFonts w:hint="default" w:ascii="Times New Roman" w:hAnsi="Times New Roman" w:cs="Times New Roman"/>
                <w:bCs/>
                <w:sz w:val="21"/>
                <w:szCs w:val="21"/>
              </w:rPr>
              <w:t>），独立基础，钢结构，高度</w:t>
            </w:r>
            <w:r>
              <w:rPr>
                <w:rFonts w:hint="default" w:ascii="Times New Roman" w:hAnsi="Times New Roman" w:cs="Times New Roman"/>
                <w:bCs/>
                <w:sz w:val="21"/>
                <w:szCs w:val="21"/>
                <w:lang w:val="en-US" w:eastAsia="zh-CN"/>
              </w:rPr>
              <w:t>8</w:t>
            </w:r>
            <w:r>
              <w:rPr>
                <w:rFonts w:hint="default" w:ascii="Times New Roman" w:hAnsi="Times New Roman" w:cs="Times New Roman"/>
                <w:bCs/>
                <w:sz w:val="21"/>
                <w:szCs w:val="21"/>
              </w:rPr>
              <w:t>m。</w:t>
            </w:r>
          </w:p>
        </w:tc>
        <w:tc>
          <w:tcPr>
            <w:tcW w:w="724" w:type="pct"/>
            <w:gridSpan w:val="2"/>
            <w:tcBorders>
              <w:bottom w:val="single" w:color="auto" w:sz="4" w:space="0"/>
            </w:tcBorders>
            <w:noWrap w:val="0"/>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垃圾贮存间</w:t>
            </w:r>
            <w:r>
              <w:rPr>
                <w:rFonts w:hint="eastAsia" w:ascii="Times New Roman" w:hAnsi="Times New Roman" w:cs="Times New Roman"/>
                <w:bCs/>
                <w:sz w:val="21"/>
                <w:szCs w:val="21"/>
                <w:lang w:val="en-US" w:eastAsia="zh-CN"/>
              </w:rPr>
              <w:t>（冷库）</w:t>
            </w:r>
          </w:p>
        </w:tc>
        <w:tc>
          <w:tcPr>
            <w:tcW w:w="3523" w:type="pct"/>
            <w:noWrap w:val="0"/>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占地面积约</w:t>
            </w:r>
            <w:r>
              <w:rPr>
                <w:rFonts w:hint="default" w:ascii="Times New Roman" w:hAnsi="Times New Roman" w:cs="Times New Roman"/>
                <w:bCs/>
                <w:sz w:val="21"/>
                <w:szCs w:val="21"/>
                <w:lang w:val="en-US" w:eastAsia="zh-CN"/>
              </w:rPr>
              <w:t>120.34</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r>
              <w:rPr>
                <w:rFonts w:hint="default" w:ascii="Times New Roman" w:hAnsi="Times New Roman" w:cs="Times New Roman"/>
                <w:bCs/>
                <w:sz w:val="21"/>
                <w:szCs w:val="21"/>
              </w:rPr>
              <w:t>，</w:t>
            </w:r>
            <w:r>
              <w:rPr>
                <w:rFonts w:hint="default" w:ascii="Times New Roman" w:hAnsi="Times New Roman" w:cs="Times New Roman"/>
                <w:bCs/>
                <w:sz w:val="21"/>
                <w:szCs w:val="21"/>
                <w:lang w:val="en-US" w:eastAsia="zh-CN"/>
              </w:rPr>
              <w:t>高8m，内设有配电间。贮存间整体采用钢结构主体、砖结构围堰，整间底部做重点防渗处理</w:t>
            </w:r>
            <w:r>
              <w:rPr>
                <w:rFonts w:hint="default" w:ascii="Times New Roman" w:hAnsi="Times New Roman" w:cs="Times New Roman"/>
                <w:bCs/>
                <w:sz w:val="21"/>
                <w:szCs w:val="21"/>
              </w:rPr>
              <w:t>。</w:t>
            </w:r>
            <w:r>
              <w:rPr>
                <w:rFonts w:hint="default" w:ascii="Times New Roman" w:hAnsi="Times New Roman" w:cs="Times New Roman"/>
                <w:bCs/>
                <w:sz w:val="21"/>
                <w:szCs w:val="21"/>
                <w:lang w:val="en-US" w:eastAsia="zh-CN"/>
              </w:rPr>
              <w:t>内设有冷库系统用于控制贮存间内温度，以空气为冷源，以水为供冷介质。用于暂存未处理医疗废物，贮存时间不得超过48小时。</w:t>
            </w:r>
          </w:p>
        </w:tc>
        <w:tc>
          <w:tcPr>
            <w:tcW w:w="290" w:type="pct"/>
            <w:noWrap w:val="0"/>
            <w:vAlign w:val="center"/>
          </w:tcPr>
          <w:p>
            <w:pPr>
              <w:adjustRightInd w:val="0"/>
              <w:snapToGrid w:val="0"/>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7"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294"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361" w:type="pct"/>
            <w:vMerge w:val="restart"/>
            <w:tcBorders>
              <w:top w:val="single" w:color="auto" w:sz="4" w:space="0"/>
            </w:tcBorders>
            <w:noWrap w:val="0"/>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处理车间（</w:t>
            </w:r>
            <w:r>
              <w:rPr>
                <w:rFonts w:hint="default" w:ascii="Times New Roman" w:hAnsi="Times New Roman" w:cs="Times New Roman"/>
                <w:bCs/>
                <w:sz w:val="21"/>
                <w:szCs w:val="21"/>
              </w:rPr>
              <w:t>占地面积约</w:t>
            </w:r>
            <w:r>
              <w:rPr>
                <w:rFonts w:hint="default" w:ascii="Times New Roman" w:hAnsi="Times New Roman" w:cs="Times New Roman"/>
                <w:bCs/>
                <w:sz w:val="21"/>
                <w:szCs w:val="21"/>
                <w:lang w:val="en-US" w:eastAsia="zh-CN"/>
              </w:rPr>
              <w:t>223.18</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r>
              <w:rPr>
                <w:rFonts w:hint="default" w:ascii="Times New Roman" w:hAnsi="Times New Roman" w:cs="Times New Roman"/>
                <w:bCs/>
                <w:sz w:val="21"/>
                <w:szCs w:val="21"/>
                <w:lang w:val="en-US" w:eastAsia="zh-CN"/>
              </w:rPr>
              <w:t>）</w:t>
            </w:r>
          </w:p>
        </w:tc>
        <w:tc>
          <w:tcPr>
            <w:tcW w:w="362" w:type="pct"/>
            <w:tcBorders>
              <w:top w:val="single" w:color="auto" w:sz="4" w:space="0"/>
              <w:bottom w:val="single" w:color="auto" w:sz="4" w:space="0"/>
            </w:tcBorders>
            <w:noWrap w:val="0"/>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医废装料区</w:t>
            </w:r>
          </w:p>
        </w:tc>
        <w:tc>
          <w:tcPr>
            <w:tcW w:w="3523" w:type="pct"/>
            <w:noWrap w:val="0"/>
            <w:vAlign w:val="center"/>
          </w:tcPr>
          <w:p>
            <w:pPr>
              <w:adjustRightInd w:val="0"/>
              <w:snapToGrid w:val="0"/>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该区域设有</w:t>
            </w:r>
            <w:r>
              <w:rPr>
                <w:rFonts w:hint="default" w:ascii="Times New Roman" w:hAnsi="Times New Roman" w:cs="Times New Roman"/>
                <w:bCs/>
                <w:sz w:val="21"/>
                <w:szCs w:val="21"/>
              </w:rPr>
              <w:t>医疗废物受料计量、装卸、暂时储存、输送等设施，处理车间保持微负压状态，抽出的空气经管道送入废气处理系统处理。</w:t>
            </w:r>
          </w:p>
        </w:tc>
        <w:tc>
          <w:tcPr>
            <w:tcW w:w="290" w:type="pct"/>
            <w:noWrap w:val="0"/>
            <w:vAlign w:val="center"/>
          </w:tcPr>
          <w:p>
            <w:pPr>
              <w:adjustRightInd w:val="0"/>
              <w:snapToGrid w:val="0"/>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7"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294"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361" w:type="pct"/>
            <w:vMerge w:val="continue"/>
            <w:noWrap w:val="0"/>
            <w:vAlign w:val="center"/>
          </w:tcPr>
          <w:p>
            <w:pPr>
              <w:widowControl/>
              <w:spacing w:line="360" w:lineRule="auto"/>
              <w:jc w:val="center"/>
              <w:rPr>
                <w:rFonts w:hint="default" w:ascii="Times New Roman" w:hAnsi="Times New Roman" w:cs="Times New Roman"/>
                <w:bCs/>
                <w:sz w:val="21"/>
                <w:szCs w:val="21"/>
              </w:rPr>
            </w:pPr>
          </w:p>
        </w:tc>
        <w:tc>
          <w:tcPr>
            <w:tcW w:w="362" w:type="pct"/>
            <w:tcBorders>
              <w:top w:val="single" w:color="auto" w:sz="4" w:space="0"/>
              <w:bottom w:val="single" w:color="auto" w:sz="4" w:space="0"/>
            </w:tcBorders>
            <w:noWrap w:val="0"/>
            <w:vAlign w:val="center"/>
          </w:tcPr>
          <w:p>
            <w:pPr>
              <w:widowControl/>
              <w:spacing w:line="36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医废消毒处理区</w:t>
            </w:r>
          </w:p>
        </w:tc>
        <w:tc>
          <w:tcPr>
            <w:tcW w:w="3523" w:type="pct"/>
            <w:noWrap w:val="0"/>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车间中部设有2台高温蒸汽灭菌器，含进料、高温蒸汽消毒、卸料、破碎及废气处理，年最大处理医废量500t，单日最大处理医废量6t。</w:t>
            </w:r>
          </w:p>
        </w:tc>
        <w:tc>
          <w:tcPr>
            <w:tcW w:w="290" w:type="pct"/>
            <w:noWrap w:val="0"/>
            <w:vAlign w:val="center"/>
          </w:tcPr>
          <w:p>
            <w:pPr>
              <w:adjustRightInd w:val="0"/>
              <w:snapToGrid w:val="0"/>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7"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294"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361"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362" w:type="pct"/>
            <w:tcBorders>
              <w:top w:val="single" w:color="auto" w:sz="4" w:space="0"/>
              <w:bottom w:val="single" w:color="auto" w:sz="4" w:space="0"/>
            </w:tcBorders>
            <w:noWrap w:val="0"/>
            <w:vAlign w:val="center"/>
          </w:tcPr>
          <w:p>
            <w:pPr>
              <w:adjustRightInd w:val="0"/>
              <w:snapToGrid w:val="0"/>
              <w:spacing w:line="360" w:lineRule="auto"/>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rPr>
              <w:t>出料</w:t>
            </w:r>
            <w:r>
              <w:rPr>
                <w:rFonts w:hint="default" w:ascii="Times New Roman" w:hAnsi="Times New Roman" w:cs="Times New Roman"/>
                <w:bCs/>
                <w:sz w:val="21"/>
                <w:szCs w:val="21"/>
                <w:lang w:val="en-US" w:eastAsia="zh-CN"/>
              </w:rPr>
              <w:t>区</w:t>
            </w:r>
          </w:p>
        </w:tc>
        <w:tc>
          <w:tcPr>
            <w:tcW w:w="3523" w:type="pct"/>
            <w:noWrap w:val="0"/>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位于医废破碎机南侧，用于消毒、破碎毁形后医废出料装车，该区域会少量存放蒸汽消毒毁形后的医疗废物，暂存后装车当日运送至阿尔山市生活垃圾填埋场填埋处理。</w:t>
            </w:r>
          </w:p>
        </w:tc>
        <w:tc>
          <w:tcPr>
            <w:tcW w:w="290" w:type="pct"/>
            <w:noWrap w:val="0"/>
            <w:vAlign w:val="center"/>
          </w:tcPr>
          <w:p>
            <w:pPr>
              <w:adjustRightInd w:val="0"/>
              <w:snapToGrid w:val="0"/>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7"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294"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361"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362" w:type="pct"/>
            <w:tcBorders>
              <w:top w:val="single" w:color="auto" w:sz="4" w:space="0"/>
            </w:tcBorders>
            <w:noWrap w:val="0"/>
            <w:vAlign w:val="center"/>
          </w:tcPr>
          <w:p>
            <w:pPr>
              <w:adjustRightInd w:val="0"/>
              <w:snapToGrid w:val="0"/>
              <w:spacing w:line="36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冷却设备间</w:t>
            </w:r>
          </w:p>
        </w:tc>
        <w:tc>
          <w:tcPr>
            <w:tcW w:w="3523" w:type="pct"/>
            <w:noWrap w:val="0"/>
            <w:vAlign w:val="center"/>
          </w:tcPr>
          <w:p>
            <w:pPr>
              <w:adjustRightInd w:val="0"/>
              <w:snapToGrid w:val="0"/>
              <w:spacing w:line="360" w:lineRule="auto"/>
              <w:jc w:val="left"/>
              <w:rPr>
                <w:rFonts w:hint="default" w:ascii="Times New Roman" w:hAnsi="Times New Roman" w:cs="Times New Roman"/>
                <w:bCs/>
                <w:sz w:val="21"/>
                <w:szCs w:val="21"/>
              </w:rPr>
            </w:pPr>
            <w:r>
              <w:rPr>
                <w:rFonts w:hint="default" w:ascii="Times New Roman" w:hAnsi="Times New Roman" w:cs="Times New Roman"/>
                <w:bCs/>
                <w:sz w:val="21"/>
                <w:szCs w:val="21"/>
              </w:rPr>
              <w:t>占地面积约</w:t>
            </w:r>
            <w:r>
              <w:rPr>
                <w:rFonts w:hint="default" w:ascii="Times New Roman" w:hAnsi="Times New Roman" w:cs="Times New Roman"/>
                <w:bCs/>
                <w:sz w:val="21"/>
                <w:szCs w:val="21"/>
                <w:lang w:val="en-US" w:eastAsia="zh-CN"/>
              </w:rPr>
              <w:t>13</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r>
              <w:rPr>
                <w:rFonts w:hint="default" w:ascii="Times New Roman" w:hAnsi="Times New Roman" w:cs="Times New Roman"/>
                <w:bCs/>
                <w:sz w:val="21"/>
                <w:szCs w:val="21"/>
              </w:rPr>
              <w:t>，用于放置</w:t>
            </w:r>
            <w:r>
              <w:rPr>
                <w:rFonts w:hint="default" w:ascii="Times New Roman" w:hAnsi="Times New Roman" w:cs="Times New Roman"/>
                <w:bCs/>
                <w:sz w:val="21"/>
                <w:szCs w:val="21"/>
                <w:lang w:val="en-US" w:eastAsia="zh-CN"/>
              </w:rPr>
              <w:t>软水机（1.5t/h）、循环水箱、循环泵、空压机等，其中软水机为电热蒸汽发生器提供软水，循环水箱、循环泵、空压机等用于废气处理</w:t>
            </w:r>
            <w:r>
              <w:rPr>
                <w:rFonts w:hint="default" w:ascii="Times New Roman" w:hAnsi="Times New Roman" w:cs="Times New Roman"/>
                <w:bCs/>
                <w:sz w:val="21"/>
                <w:szCs w:val="21"/>
              </w:rPr>
              <w:t>。</w:t>
            </w:r>
          </w:p>
        </w:tc>
        <w:tc>
          <w:tcPr>
            <w:tcW w:w="290" w:type="pct"/>
            <w:noWrap w:val="0"/>
            <w:vAlign w:val="center"/>
          </w:tcPr>
          <w:p>
            <w:pPr>
              <w:adjustRightInd w:val="0"/>
              <w:snapToGrid w:val="0"/>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7" w:type="pct"/>
            <w:vMerge w:val="restart"/>
            <w:noWrap w:val="0"/>
            <w:vAlign w:val="center"/>
          </w:tcPr>
          <w:p>
            <w:pPr>
              <w:adjustRightInd w:val="0"/>
              <w:snapToGrid w:val="0"/>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辅助工程</w:t>
            </w:r>
          </w:p>
        </w:tc>
        <w:tc>
          <w:tcPr>
            <w:tcW w:w="656" w:type="pct"/>
            <w:gridSpan w:val="2"/>
            <w:vMerge w:val="restart"/>
            <w:noWrap w:val="0"/>
            <w:vAlign w:val="center"/>
          </w:tcPr>
          <w:p>
            <w:pPr>
              <w:adjustRightInd w:val="0"/>
              <w:snapToGrid w:val="0"/>
              <w:spacing w:line="36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车库及办公用房（</w:t>
            </w:r>
            <w:r>
              <w:rPr>
                <w:rFonts w:hint="default" w:ascii="Times New Roman" w:hAnsi="Times New Roman" w:cs="Times New Roman"/>
                <w:bCs/>
                <w:sz w:val="21"/>
                <w:szCs w:val="21"/>
              </w:rPr>
              <w:t>占地面积约</w:t>
            </w:r>
            <w:r>
              <w:rPr>
                <w:rFonts w:hint="default" w:ascii="Times New Roman" w:hAnsi="Times New Roman" w:cs="Times New Roman"/>
                <w:bCs/>
                <w:sz w:val="21"/>
                <w:szCs w:val="21"/>
                <w:lang w:val="en-US" w:eastAsia="zh-CN"/>
              </w:rPr>
              <w:t>501.84</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r>
              <w:rPr>
                <w:rFonts w:hint="default" w:ascii="Times New Roman" w:hAnsi="Times New Roman" w:cs="Times New Roman"/>
                <w:bCs/>
                <w:color w:val="auto"/>
                <w:sz w:val="21"/>
                <w:szCs w:val="21"/>
                <w:lang w:val="en-US" w:eastAsia="zh-CN"/>
              </w:rPr>
              <w:t>）</w:t>
            </w:r>
          </w:p>
        </w:tc>
        <w:tc>
          <w:tcPr>
            <w:tcW w:w="362" w:type="pct"/>
            <w:noWrap w:val="0"/>
            <w:vAlign w:val="center"/>
          </w:tcPr>
          <w:p>
            <w:pPr>
              <w:adjustRightInd w:val="0"/>
              <w:snapToGrid w:val="0"/>
              <w:spacing w:line="36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highlight w:val="none"/>
                <w:lang w:val="en-US" w:eastAsia="zh-CN"/>
              </w:rPr>
              <w:t>锅炉间</w:t>
            </w:r>
          </w:p>
        </w:tc>
        <w:tc>
          <w:tcPr>
            <w:tcW w:w="3523" w:type="pct"/>
            <w:noWrap w:val="0"/>
            <w:vAlign w:val="center"/>
          </w:tcPr>
          <w:p>
            <w:pPr>
              <w:adjustRightInd w:val="0"/>
              <w:snapToGrid w:val="0"/>
              <w:spacing w:line="360" w:lineRule="auto"/>
              <w:jc w:val="left"/>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车库及办公用房西南侧隔间建设锅炉间，</w:t>
            </w:r>
            <w:r>
              <w:rPr>
                <w:rFonts w:hint="default" w:ascii="Times New Roman" w:hAnsi="Times New Roman" w:cs="Times New Roman"/>
                <w:bCs/>
                <w:sz w:val="21"/>
                <w:szCs w:val="21"/>
                <w:lang w:val="en-US" w:eastAsia="zh-CN"/>
              </w:rPr>
              <w:t>高5.6m，内设有</w:t>
            </w:r>
            <w:r>
              <w:rPr>
                <w:rFonts w:hint="default" w:ascii="Times New Roman" w:hAnsi="Times New Roman" w:cs="Times New Roman"/>
                <w:bCs/>
                <w:color w:val="auto"/>
                <w:sz w:val="21"/>
                <w:szCs w:val="21"/>
              </w:rPr>
              <w:t>一台0.2MW蓄热式电热锅炉</w:t>
            </w:r>
            <w:r>
              <w:rPr>
                <w:rFonts w:hint="default" w:ascii="Times New Roman" w:hAnsi="Times New Roman" w:cs="Times New Roman"/>
                <w:bCs/>
                <w:color w:val="auto"/>
                <w:sz w:val="21"/>
                <w:szCs w:val="21"/>
                <w:lang w:val="en-US" w:eastAsia="zh-CN"/>
              </w:rPr>
              <w:t>用于厂区供暖，其软水由医废贮存处理车间内软水制备装置供给。</w:t>
            </w:r>
          </w:p>
        </w:tc>
        <w:tc>
          <w:tcPr>
            <w:tcW w:w="290" w:type="pct"/>
            <w:noWrap w:val="0"/>
            <w:vAlign w:val="center"/>
          </w:tcPr>
          <w:p>
            <w:pPr>
              <w:adjustRightInd w:val="0"/>
              <w:snapToGrid w:val="0"/>
              <w:spacing w:line="36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7"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656" w:type="pct"/>
            <w:gridSpan w:val="2"/>
            <w:vMerge w:val="continue"/>
            <w:noWrap w:val="0"/>
            <w:vAlign w:val="center"/>
          </w:tcPr>
          <w:p>
            <w:pPr>
              <w:adjustRightInd w:val="0"/>
              <w:snapToGrid w:val="0"/>
              <w:spacing w:line="360" w:lineRule="auto"/>
              <w:jc w:val="center"/>
              <w:rPr>
                <w:rFonts w:hint="default" w:ascii="Times New Roman" w:hAnsi="Times New Roman" w:cs="Times New Roman"/>
                <w:bCs/>
                <w:color w:val="auto"/>
                <w:sz w:val="21"/>
                <w:szCs w:val="21"/>
              </w:rPr>
            </w:pPr>
          </w:p>
        </w:tc>
        <w:tc>
          <w:tcPr>
            <w:tcW w:w="362" w:type="pct"/>
            <w:noWrap w:val="0"/>
            <w:vAlign w:val="center"/>
          </w:tcPr>
          <w:p>
            <w:pPr>
              <w:adjustRightInd w:val="0"/>
              <w:snapToGrid w:val="0"/>
              <w:spacing w:line="36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办公室、监控室、收发室</w:t>
            </w:r>
            <w:r>
              <w:rPr>
                <w:rFonts w:hint="eastAsia" w:ascii="Times New Roman" w:hAnsi="Times New Roman" w:cs="Times New Roman"/>
                <w:bCs/>
                <w:color w:val="auto"/>
                <w:sz w:val="21"/>
                <w:szCs w:val="21"/>
                <w:lang w:val="en-US" w:eastAsia="zh-CN"/>
              </w:rPr>
              <w:t>、车库</w:t>
            </w:r>
            <w:r>
              <w:rPr>
                <w:rFonts w:hint="default" w:ascii="Times New Roman" w:hAnsi="Times New Roman" w:cs="Times New Roman"/>
                <w:bCs/>
                <w:color w:val="auto"/>
                <w:sz w:val="21"/>
                <w:szCs w:val="21"/>
                <w:lang w:val="en-US" w:eastAsia="zh-CN"/>
              </w:rPr>
              <w:t>等附属用房</w:t>
            </w:r>
          </w:p>
        </w:tc>
        <w:tc>
          <w:tcPr>
            <w:tcW w:w="3523" w:type="pct"/>
            <w:noWrap w:val="0"/>
            <w:vAlign w:val="center"/>
          </w:tcPr>
          <w:p>
            <w:pPr>
              <w:adjustRightInd w:val="0"/>
              <w:snapToGrid w:val="0"/>
              <w:spacing w:line="360" w:lineRule="auto"/>
              <w:jc w:val="left"/>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办公室等附属用房占地面积约为</w:t>
            </w:r>
            <w:r>
              <w:rPr>
                <w:rFonts w:hint="default" w:ascii="Times New Roman" w:hAnsi="Times New Roman" w:cs="Times New Roman"/>
                <w:bCs/>
                <w:sz w:val="21"/>
                <w:szCs w:val="21"/>
                <w:lang w:val="en-US" w:eastAsia="zh-CN"/>
              </w:rPr>
              <w:t>104.94</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r>
              <w:rPr>
                <w:rFonts w:hint="default" w:ascii="Times New Roman" w:hAnsi="Times New Roman" w:cs="Times New Roman"/>
                <w:bCs/>
                <w:sz w:val="21"/>
                <w:szCs w:val="21"/>
              </w:rPr>
              <w:t>，</w:t>
            </w:r>
            <w:r>
              <w:rPr>
                <w:rFonts w:hint="default" w:ascii="Times New Roman" w:hAnsi="Times New Roman" w:cs="Times New Roman"/>
                <w:bCs/>
                <w:sz w:val="21"/>
                <w:szCs w:val="21"/>
                <w:lang w:val="en-US" w:eastAsia="zh-CN"/>
              </w:rPr>
              <w:t>高5.6m。独立基础，钢筋混凝土结构，设置门卫、收发室、监控室、办公室、进线间、卫生间等。</w:t>
            </w:r>
            <w:r>
              <w:rPr>
                <w:rFonts w:hint="eastAsia" w:ascii="Times New Roman" w:hAnsi="Times New Roman" w:cs="Times New Roman"/>
                <w:bCs/>
                <w:sz w:val="21"/>
                <w:szCs w:val="21"/>
                <w:lang w:val="en-US" w:eastAsia="zh-CN"/>
              </w:rPr>
              <w:t>东侧建设三间车库，最东侧车库用作车辆清洗间，做重点防渗处理。</w:t>
            </w:r>
          </w:p>
        </w:tc>
        <w:tc>
          <w:tcPr>
            <w:tcW w:w="290" w:type="pct"/>
            <w:noWrap w:val="0"/>
            <w:vAlign w:val="center"/>
          </w:tcPr>
          <w:p>
            <w:pPr>
              <w:adjustRightInd w:val="0"/>
              <w:snapToGrid w:val="0"/>
              <w:spacing w:line="36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7"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656" w:type="pct"/>
            <w:gridSpan w:val="2"/>
            <w:vMerge w:val="continue"/>
            <w:noWrap w:val="0"/>
            <w:vAlign w:val="center"/>
          </w:tcPr>
          <w:p>
            <w:pPr>
              <w:adjustRightInd w:val="0"/>
              <w:snapToGrid w:val="0"/>
              <w:spacing w:line="360" w:lineRule="auto"/>
              <w:jc w:val="center"/>
              <w:rPr>
                <w:rFonts w:hint="default" w:ascii="Times New Roman" w:hAnsi="Times New Roman" w:cs="Times New Roman"/>
                <w:bCs/>
                <w:color w:val="auto"/>
                <w:sz w:val="21"/>
                <w:szCs w:val="21"/>
              </w:rPr>
            </w:pPr>
          </w:p>
        </w:tc>
        <w:tc>
          <w:tcPr>
            <w:tcW w:w="362" w:type="pct"/>
            <w:noWrap w:val="0"/>
            <w:vAlign w:val="center"/>
          </w:tcPr>
          <w:p>
            <w:pPr>
              <w:adjustRightInd w:val="0"/>
              <w:snapToGrid w:val="0"/>
              <w:spacing w:line="36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药品储藏室</w:t>
            </w:r>
          </w:p>
        </w:tc>
        <w:tc>
          <w:tcPr>
            <w:tcW w:w="3523" w:type="pct"/>
            <w:noWrap w:val="0"/>
            <w:vAlign w:val="center"/>
          </w:tcPr>
          <w:p>
            <w:pPr>
              <w:adjustRightInd w:val="0"/>
              <w:snapToGrid w:val="0"/>
              <w:spacing w:line="360" w:lineRule="auto"/>
              <w:jc w:val="left"/>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办公用房东北侧设有药品储藏室，占地面积约为</w:t>
            </w:r>
            <w:r>
              <w:rPr>
                <w:rFonts w:hint="default" w:ascii="Times New Roman" w:hAnsi="Times New Roman" w:cs="Times New Roman"/>
                <w:bCs/>
                <w:sz w:val="21"/>
                <w:szCs w:val="21"/>
                <w:lang w:val="en-US" w:eastAsia="zh-CN"/>
              </w:rPr>
              <w:t>44.85</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r>
              <w:rPr>
                <w:rFonts w:hint="default" w:ascii="Times New Roman" w:hAnsi="Times New Roman" w:cs="Times New Roman"/>
                <w:bCs/>
                <w:sz w:val="21"/>
                <w:szCs w:val="21"/>
              </w:rPr>
              <w:t>，</w:t>
            </w:r>
            <w:r>
              <w:rPr>
                <w:rFonts w:hint="default" w:ascii="Times New Roman" w:hAnsi="Times New Roman" w:cs="Times New Roman"/>
                <w:bCs/>
                <w:sz w:val="21"/>
                <w:szCs w:val="21"/>
                <w:lang w:val="en-US" w:eastAsia="zh-CN"/>
              </w:rPr>
              <w:t>高5.6m，用于厂区内消毒药剂的临时存放。</w:t>
            </w:r>
          </w:p>
        </w:tc>
        <w:tc>
          <w:tcPr>
            <w:tcW w:w="290" w:type="pct"/>
            <w:noWrap w:val="0"/>
            <w:vAlign w:val="center"/>
          </w:tcPr>
          <w:p>
            <w:pPr>
              <w:adjustRightInd w:val="0"/>
              <w:snapToGrid w:val="0"/>
              <w:spacing w:line="36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7"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656" w:type="pct"/>
            <w:gridSpan w:val="2"/>
            <w:vMerge w:val="continue"/>
            <w:noWrap w:val="0"/>
            <w:vAlign w:val="center"/>
          </w:tcPr>
          <w:p>
            <w:pPr>
              <w:adjustRightInd w:val="0"/>
              <w:snapToGrid w:val="0"/>
              <w:spacing w:line="360" w:lineRule="auto"/>
              <w:jc w:val="center"/>
              <w:rPr>
                <w:rFonts w:hint="default" w:ascii="Times New Roman" w:hAnsi="Times New Roman" w:cs="Times New Roman"/>
                <w:bCs/>
                <w:color w:val="auto"/>
                <w:sz w:val="21"/>
                <w:szCs w:val="21"/>
              </w:rPr>
            </w:pPr>
          </w:p>
        </w:tc>
        <w:tc>
          <w:tcPr>
            <w:tcW w:w="362" w:type="pct"/>
            <w:noWrap w:val="0"/>
            <w:vAlign w:val="center"/>
          </w:tcPr>
          <w:p>
            <w:pPr>
              <w:adjustRightInd w:val="0"/>
              <w:snapToGrid w:val="0"/>
              <w:spacing w:line="36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highlight w:val="none"/>
                <w:lang w:val="en-US" w:eastAsia="zh-CN"/>
              </w:rPr>
              <w:t>隔离室</w:t>
            </w:r>
          </w:p>
        </w:tc>
        <w:tc>
          <w:tcPr>
            <w:tcW w:w="3523" w:type="pct"/>
            <w:noWrap w:val="0"/>
            <w:vAlign w:val="center"/>
          </w:tcPr>
          <w:p>
            <w:pPr>
              <w:adjustRightInd w:val="0"/>
              <w:snapToGrid w:val="0"/>
              <w:spacing w:line="360" w:lineRule="auto"/>
              <w:jc w:val="left"/>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监控室西侧建有隔离室，占地面积约为</w:t>
            </w:r>
            <w:r>
              <w:rPr>
                <w:rFonts w:hint="default" w:ascii="Times New Roman" w:hAnsi="Times New Roman" w:cs="Times New Roman"/>
                <w:bCs/>
                <w:sz w:val="21"/>
                <w:szCs w:val="21"/>
                <w:lang w:val="en-US" w:eastAsia="zh-CN"/>
              </w:rPr>
              <w:t>20</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r>
              <w:rPr>
                <w:rFonts w:hint="default" w:ascii="Times New Roman" w:hAnsi="Times New Roman" w:cs="Times New Roman"/>
                <w:bCs/>
                <w:sz w:val="21"/>
                <w:szCs w:val="21"/>
              </w:rPr>
              <w:t>，</w:t>
            </w:r>
            <w:r>
              <w:rPr>
                <w:rFonts w:hint="default" w:ascii="Times New Roman" w:hAnsi="Times New Roman" w:cs="Times New Roman"/>
                <w:bCs/>
                <w:sz w:val="21"/>
                <w:szCs w:val="21"/>
                <w:lang w:val="en-US" w:eastAsia="zh-CN"/>
              </w:rPr>
              <w:t>高5.6m，</w:t>
            </w:r>
            <w:r>
              <w:rPr>
                <w:rFonts w:hint="default" w:ascii="Times New Roman" w:hAnsi="Times New Roman" w:cs="Times New Roman"/>
                <w:bCs/>
                <w:color w:val="auto"/>
                <w:sz w:val="21"/>
                <w:szCs w:val="21"/>
                <w:lang w:val="en-US" w:eastAsia="zh-CN"/>
              </w:rPr>
              <w:t>有隔离需求的工作人员用于隔离观察。</w:t>
            </w:r>
          </w:p>
        </w:tc>
        <w:tc>
          <w:tcPr>
            <w:tcW w:w="290" w:type="pct"/>
            <w:noWrap w:val="0"/>
            <w:vAlign w:val="center"/>
          </w:tcPr>
          <w:p>
            <w:pPr>
              <w:adjustRightInd w:val="0"/>
              <w:snapToGrid w:val="0"/>
              <w:spacing w:line="36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 w:type="pct"/>
            <w:vMerge w:val="restart"/>
            <w:noWrap w:val="0"/>
            <w:vAlign w:val="center"/>
          </w:tcPr>
          <w:p>
            <w:pPr>
              <w:adjustRightInd w:val="0"/>
              <w:snapToGrid w:val="0"/>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公用工程</w:t>
            </w:r>
          </w:p>
        </w:tc>
        <w:tc>
          <w:tcPr>
            <w:tcW w:w="1018" w:type="pct"/>
            <w:gridSpan w:val="3"/>
            <w:noWrap w:val="0"/>
            <w:vAlign w:val="center"/>
          </w:tcPr>
          <w:p>
            <w:pPr>
              <w:adjustRightInd w:val="0"/>
              <w:snapToGrid w:val="0"/>
              <w:spacing w:line="36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rPr>
              <w:t>供热工程</w:t>
            </w:r>
          </w:p>
        </w:tc>
        <w:tc>
          <w:tcPr>
            <w:tcW w:w="3523" w:type="pct"/>
            <w:noWrap w:val="0"/>
            <w:vAlign w:val="center"/>
          </w:tcPr>
          <w:p>
            <w:pPr>
              <w:adjustRightInd w:val="0"/>
              <w:snapToGrid w:val="0"/>
              <w:spacing w:line="360" w:lineRule="auto"/>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本项目医疗垃圾处理车间、办公区</w:t>
            </w:r>
            <w:r>
              <w:rPr>
                <w:rFonts w:hint="default" w:ascii="Times New Roman" w:hAnsi="Times New Roman" w:cs="Times New Roman"/>
                <w:bCs/>
                <w:color w:val="auto"/>
                <w:sz w:val="21"/>
                <w:szCs w:val="21"/>
                <w:lang w:val="en-US" w:eastAsia="zh-CN"/>
              </w:rPr>
              <w:t>供暖季</w:t>
            </w:r>
            <w:r>
              <w:rPr>
                <w:rFonts w:hint="default" w:ascii="Times New Roman" w:hAnsi="Times New Roman" w:cs="Times New Roman"/>
                <w:bCs/>
                <w:color w:val="auto"/>
                <w:sz w:val="21"/>
                <w:szCs w:val="21"/>
              </w:rPr>
              <w:t>采暖采用一台0.2MW蓄热式电热锅炉供给。</w:t>
            </w:r>
          </w:p>
        </w:tc>
        <w:tc>
          <w:tcPr>
            <w:tcW w:w="290" w:type="pct"/>
            <w:noWrap w:val="0"/>
            <w:vAlign w:val="center"/>
          </w:tcPr>
          <w:p>
            <w:pPr>
              <w:adjustRightInd w:val="0"/>
              <w:snapToGrid w:val="0"/>
              <w:spacing w:line="360" w:lineRule="auto"/>
              <w:jc w:val="center"/>
              <w:rPr>
                <w:rFonts w:hint="default" w:ascii="Times New Roman" w:hAnsi="Times New Roman" w:cs="Times New Roman"/>
                <w:bCs/>
                <w:color w:val="auto"/>
                <w:sz w:val="21"/>
                <w:szCs w:val="21"/>
                <w:highlight w:val="yellow"/>
              </w:rPr>
            </w:pPr>
            <w:r>
              <w:rPr>
                <w:rFonts w:hint="default" w:ascii="Times New Roman" w:hAnsi="Times New Roman"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1018" w:type="pct"/>
            <w:gridSpan w:val="3"/>
            <w:noWrap w:val="0"/>
            <w:vAlign w:val="center"/>
          </w:tcPr>
          <w:p>
            <w:pPr>
              <w:adjustRightInd w:val="0"/>
              <w:snapToGrid w:val="0"/>
              <w:spacing w:line="36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rPr>
              <w:t>供水工程</w:t>
            </w:r>
          </w:p>
        </w:tc>
        <w:tc>
          <w:tcPr>
            <w:tcW w:w="3523" w:type="pct"/>
            <w:noWrap w:val="0"/>
            <w:vAlign w:val="center"/>
          </w:tcPr>
          <w:p>
            <w:pPr>
              <w:adjustRightInd w:val="0"/>
              <w:snapToGrid w:val="0"/>
              <w:spacing w:line="360" w:lineRule="auto"/>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本项目生产生活用水由</w:t>
            </w:r>
            <w:r>
              <w:rPr>
                <w:rFonts w:hint="default" w:ascii="Times New Roman" w:hAnsi="Times New Roman" w:cs="Times New Roman"/>
                <w:bCs/>
                <w:color w:val="auto"/>
                <w:sz w:val="21"/>
                <w:szCs w:val="21"/>
                <w:lang w:val="en-US" w:eastAsia="zh-CN"/>
              </w:rPr>
              <w:t>厂区自建水井供给</w:t>
            </w:r>
            <w:r>
              <w:rPr>
                <w:rFonts w:hint="default" w:ascii="Times New Roman" w:hAnsi="Times New Roman" w:cs="Times New Roman"/>
                <w:bCs/>
                <w:color w:val="auto"/>
                <w:sz w:val="21"/>
                <w:szCs w:val="21"/>
              </w:rPr>
              <w:t>，年用新鲜水量为</w:t>
            </w:r>
            <w:r>
              <w:rPr>
                <w:rFonts w:hint="default" w:ascii="Times New Roman" w:hAnsi="Times New Roman" w:cs="Times New Roman"/>
                <w:color w:val="auto"/>
                <w:sz w:val="21"/>
                <w:szCs w:val="21"/>
                <w:lang w:val="en-US" w:eastAsia="zh-CN"/>
              </w:rPr>
              <w:t>19</w:t>
            </w:r>
            <w:r>
              <w:rPr>
                <w:rFonts w:hint="eastAsia" w:ascii="Times New Roman" w:hAnsi="Times New Roman" w:cs="Times New Roman"/>
                <w:color w:val="auto"/>
                <w:sz w:val="21"/>
                <w:szCs w:val="21"/>
                <w:lang w:val="en-US" w:eastAsia="zh-CN"/>
              </w:rPr>
              <w:t>84.14</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bCs/>
                <w:color w:val="auto"/>
                <w:sz w:val="21"/>
                <w:szCs w:val="21"/>
              </w:rPr>
              <w:t>。</w:t>
            </w:r>
          </w:p>
        </w:tc>
        <w:tc>
          <w:tcPr>
            <w:tcW w:w="290" w:type="pct"/>
            <w:noWrap w:val="0"/>
            <w:vAlign w:val="center"/>
          </w:tcPr>
          <w:p>
            <w:pPr>
              <w:adjustRightInd w:val="0"/>
              <w:snapToGrid w:val="0"/>
              <w:spacing w:line="36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67"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1018" w:type="pct"/>
            <w:gridSpan w:val="3"/>
            <w:noWrap w:val="0"/>
            <w:vAlign w:val="center"/>
          </w:tcPr>
          <w:p>
            <w:pPr>
              <w:adjustRightInd w:val="0"/>
              <w:snapToGrid w:val="0"/>
              <w:spacing w:line="36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供电工程</w:t>
            </w:r>
          </w:p>
        </w:tc>
        <w:tc>
          <w:tcPr>
            <w:tcW w:w="3523" w:type="pct"/>
            <w:noWrap w:val="0"/>
            <w:vAlign w:val="center"/>
          </w:tcPr>
          <w:p>
            <w:pPr>
              <w:adjustRightInd w:val="0"/>
              <w:snapToGrid w:val="0"/>
              <w:spacing w:line="360" w:lineRule="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本项目用电</w:t>
            </w:r>
            <w:r>
              <w:rPr>
                <w:rFonts w:hint="default" w:ascii="Times New Roman" w:hAnsi="Times New Roman" w:cs="Times New Roman"/>
                <w:bCs/>
                <w:color w:val="auto"/>
                <w:sz w:val="21"/>
                <w:szCs w:val="21"/>
                <w:lang w:val="en-US" w:eastAsia="zh-CN"/>
              </w:rPr>
              <w:t>引自生活垃圾填埋场供电系统。</w:t>
            </w:r>
          </w:p>
        </w:tc>
        <w:tc>
          <w:tcPr>
            <w:tcW w:w="290" w:type="pct"/>
            <w:noWrap w:val="0"/>
            <w:vAlign w:val="center"/>
          </w:tcPr>
          <w:p>
            <w:pPr>
              <w:adjustRightInd w:val="0"/>
              <w:snapToGrid w:val="0"/>
              <w:spacing w:line="36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1018" w:type="pct"/>
            <w:gridSpan w:val="3"/>
            <w:noWrap w:val="0"/>
            <w:vAlign w:val="center"/>
          </w:tcPr>
          <w:p>
            <w:pPr>
              <w:adjustRightInd w:val="0"/>
              <w:snapToGrid w:val="0"/>
              <w:spacing w:line="36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排水工程</w:t>
            </w:r>
          </w:p>
        </w:tc>
        <w:tc>
          <w:tcPr>
            <w:tcW w:w="3523" w:type="pct"/>
            <w:noWrap w:val="0"/>
            <w:vAlign w:val="center"/>
          </w:tcPr>
          <w:p>
            <w:pPr>
              <w:adjustRightInd w:val="0"/>
              <w:snapToGrid w:val="0"/>
              <w:spacing w:line="360" w:lineRule="auto"/>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项目区生产废水经一体化污水处理设施处理后</w:t>
            </w:r>
            <w:r>
              <w:rPr>
                <w:rFonts w:hint="default" w:ascii="Times New Roman" w:hAnsi="Times New Roman" w:cs="Times New Roman"/>
                <w:bCs/>
                <w:color w:val="auto"/>
                <w:sz w:val="21"/>
                <w:szCs w:val="21"/>
                <w:lang w:val="en-US" w:eastAsia="zh-CN"/>
              </w:rPr>
              <w:t>非供暖季回用作为厂区绿化用水，供暖季经罐车拉运至</w:t>
            </w:r>
            <w:r>
              <w:rPr>
                <w:rFonts w:hint="eastAsia" w:ascii="Times New Roman" w:hAnsi="Times New Roman" w:cs="Times New Roman"/>
                <w:bCs/>
                <w:color w:val="auto"/>
                <w:sz w:val="21"/>
                <w:szCs w:val="21"/>
                <w:lang w:val="en-US" w:eastAsia="zh-CN"/>
              </w:rPr>
              <w:t>突泉县突泉镇清源污水处理厂</w:t>
            </w:r>
            <w:r>
              <w:rPr>
                <w:rFonts w:hint="default" w:ascii="Times New Roman" w:hAnsi="Times New Roman" w:cs="Times New Roman"/>
                <w:bCs/>
                <w:color w:val="auto"/>
                <w:sz w:val="21"/>
                <w:szCs w:val="21"/>
                <w:lang w:val="en-US" w:eastAsia="zh-CN"/>
              </w:rPr>
              <w:t>处理</w:t>
            </w:r>
            <w:r>
              <w:rPr>
                <w:rFonts w:hint="default" w:ascii="Times New Roman" w:hAnsi="Times New Roman" w:cs="Times New Roman"/>
                <w:bCs/>
                <w:color w:val="auto"/>
                <w:sz w:val="21"/>
                <w:szCs w:val="21"/>
                <w:lang w:eastAsia="zh-CN"/>
              </w:rPr>
              <w:t>；</w:t>
            </w:r>
            <w:r>
              <w:rPr>
                <w:rFonts w:hint="default" w:ascii="Times New Roman" w:hAnsi="Times New Roman" w:cs="Times New Roman"/>
                <w:color w:val="auto"/>
                <w:kern w:val="0"/>
                <w:sz w:val="21"/>
                <w:szCs w:val="21"/>
              </w:rPr>
              <w:t>生活污水</w:t>
            </w:r>
            <w:r>
              <w:rPr>
                <w:rFonts w:hint="default" w:ascii="Times New Roman" w:hAnsi="Times New Roman" w:cs="Times New Roman"/>
                <w:color w:val="auto"/>
                <w:kern w:val="0"/>
                <w:sz w:val="21"/>
                <w:szCs w:val="21"/>
                <w:lang w:eastAsia="zh-CN"/>
              </w:rPr>
              <w:t>排入本项目</w:t>
            </w:r>
            <w:r>
              <w:rPr>
                <w:rFonts w:hint="default" w:ascii="Times New Roman" w:hAnsi="Times New Roman" w:cs="Times New Roman"/>
                <w:color w:val="auto"/>
                <w:kern w:val="0"/>
                <w:sz w:val="21"/>
                <w:szCs w:val="21"/>
              </w:rPr>
              <w:t>新建防渗化粪池后</w:t>
            </w:r>
            <w:r>
              <w:rPr>
                <w:rFonts w:hint="default" w:ascii="Times New Roman" w:hAnsi="Times New Roman" w:cs="Times New Roman"/>
                <w:color w:val="auto"/>
                <w:sz w:val="21"/>
                <w:szCs w:val="21"/>
                <w:lang w:val="en-US" w:eastAsia="zh-CN"/>
              </w:rPr>
              <w:t>定期由吸污车抽运至</w:t>
            </w:r>
            <w:r>
              <w:rPr>
                <w:rFonts w:hint="eastAsia" w:ascii="Times New Roman" w:hAnsi="Times New Roman" w:cs="Times New Roman"/>
                <w:color w:val="auto"/>
                <w:sz w:val="21"/>
                <w:szCs w:val="21"/>
                <w:lang w:val="en-US" w:eastAsia="zh-CN"/>
              </w:rPr>
              <w:t>突泉县突泉镇清源污水处理厂</w:t>
            </w:r>
            <w:r>
              <w:rPr>
                <w:rFonts w:hint="default" w:ascii="Times New Roman" w:hAnsi="Times New Roman" w:cs="Times New Roman"/>
                <w:color w:val="auto"/>
                <w:sz w:val="21"/>
                <w:szCs w:val="21"/>
                <w:lang w:val="en-US" w:eastAsia="zh-CN"/>
              </w:rPr>
              <w:t>进一步处理</w:t>
            </w:r>
            <w:r>
              <w:rPr>
                <w:rFonts w:hint="default" w:ascii="Times New Roman" w:hAnsi="Times New Roman" w:cs="Times New Roman"/>
                <w:bCs/>
                <w:color w:val="auto"/>
                <w:sz w:val="21"/>
                <w:szCs w:val="21"/>
              </w:rPr>
              <w:t>。</w:t>
            </w:r>
          </w:p>
        </w:tc>
        <w:tc>
          <w:tcPr>
            <w:tcW w:w="290" w:type="pct"/>
            <w:noWrap w:val="0"/>
            <w:vAlign w:val="center"/>
          </w:tcPr>
          <w:p>
            <w:pPr>
              <w:adjustRightInd w:val="0"/>
              <w:snapToGrid w:val="0"/>
              <w:spacing w:line="36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167" w:type="pct"/>
            <w:vMerge w:val="restart"/>
            <w:noWrap w:val="0"/>
            <w:vAlign w:val="center"/>
          </w:tcPr>
          <w:p>
            <w:pPr>
              <w:adjustRightInd w:val="0"/>
              <w:snapToGrid w:val="0"/>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环保工程</w:t>
            </w:r>
          </w:p>
        </w:tc>
        <w:tc>
          <w:tcPr>
            <w:tcW w:w="1018" w:type="pct"/>
            <w:gridSpan w:val="3"/>
            <w:vMerge w:val="restart"/>
            <w:noWrap w:val="0"/>
            <w:vAlign w:val="center"/>
          </w:tcPr>
          <w:p>
            <w:pPr>
              <w:adjustRightInd w:val="0"/>
              <w:snapToGrid w:val="0"/>
              <w:spacing w:line="360" w:lineRule="auto"/>
              <w:jc w:val="center"/>
              <w:rPr>
                <w:rFonts w:hint="default" w:ascii="Times New Roman" w:hAnsi="Times New Roman" w:cs="Times New Roman"/>
                <w:bCs/>
                <w:color w:val="auto"/>
                <w:sz w:val="21"/>
                <w:szCs w:val="21"/>
                <w:highlight w:val="yellow"/>
              </w:rPr>
            </w:pPr>
            <w:r>
              <w:rPr>
                <w:rFonts w:hint="default" w:ascii="Times New Roman" w:hAnsi="Times New Roman" w:cs="Times New Roman"/>
                <w:bCs/>
                <w:color w:val="auto"/>
                <w:sz w:val="21"/>
                <w:szCs w:val="21"/>
                <w:highlight w:val="none"/>
              </w:rPr>
              <w:t>废气</w:t>
            </w:r>
          </w:p>
        </w:tc>
        <w:tc>
          <w:tcPr>
            <w:tcW w:w="3523" w:type="pct"/>
            <w:noWrap w:val="0"/>
            <w:vAlign w:val="center"/>
          </w:tcPr>
          <w:p>
            <w:pPr>
              <w:adjustRightInd w:val="0"/>
              <w:snapToGrid w:val="0"/>
              <w:spacing w:line="360" w:lineRule="auto"/>
              <w:rPr>
                <w:rFonts w:hint="default" w:ascii="Times New Roman" w:hAnsi="Times New Roman" w:cs="Times New Roman"/>
                <w:bCs/>
                <w:color w:val="auto"/>
                <w:sz w:val="21"/>
                <w:szCs w:val="21"/>
              </w:rPr>
            </w:pPr>
            <w:r>
              <w:rPr>
                <w:rFonts w:hint="default" w:ascii="Times New Roman" w:hAnsi="Times New Roman" w:cs="Times New Roman"/>
                <w:color w:val="auto"/>
                <w:kern w:val="0"/>
                <w:sz w:val="21"/>
                <w:szCs w:val="21"/>
              </w:rPr>
              <w:t>医废处理车间有组织废气（G1）：本项目在</w:t>
            </w:r>
            <w:r>
              <w:rPr>
                <w:rFonts w:hint="eastAsia" w:ascii="Times New Roman" w:hAnsi="Times New Roman" w:cs="Times New Roman"/>
                <w:color w:val="auto"/>
                <w:kern w:val="0"/>
                <w:sz w:val="21"/>
                <w:szCs w:val="21"/>
                <w:lang w:val="en-US" w:eastAsia="zh-CN"/>
              </w:rPr>
              <w:t>密闭设备内</w:t>
            </w:r>
            <w:r>
              <w:rPr>
                <w:rFonts w:hint="default" w:ascii="Times New Roman" w:hAnsi="Times New Roman" w:cs="Times New Roman"/>
                <w:color w:val="auto"/>
                <w:kern w:val="0"/>
                <w:sz w:val="21"/>
                <w:szCs w:val="21"/>
              </w:rPr>
              <w:t>进行破碎，</w:t>
            </w:r>
            <w:r>
              <w:rPr>
                <w:rFonts w:hint="default" w:ascii="Times New Roman" w:hAnsi="Times New Roman" w:cs="Times New Roman"/>
                <w:color w:val="auto"/>
                <w:kern w:val="0"/>
                <w:sz w:val="21"/>
                <w:szCs w:val="21"/>
                <w:highlight w:val="none"/>
              </w:rPr>
              <w:t>处理车间、冷库采用微负压</w:t>
            </w:r>
            <w:r>
              <w:rPr>
                <w:rFonts w:hint="eastAsia" w:ascii="Times New Roman" w:hAnsi="Times New Roman" w:cs="Times New Roman"/>
                <w:color w:val="auto"/>
                <w:kern w:val="0"/>
                <w:sz w:val="21"/>
                <w:szCs w:val="21"/>
                <w:highlight w:val="none"/>
                <w:lang w:val="en-US" w:eastAsia="zh-CN"/>
              </w:rPr>
              <w:t>设计</w:t>
            </w:r>
            <w:r>
              <w:rPr>
                <w:rFonts w:hint="default" w:ascii="Times New Roman" w:hAnsi="Times New Roman" w:cs="Times New Roman"/>
                <w:color w:val="auto"/>
                <w:kern w:val="0"/>
                <w:sz w:val="21"/>
                <w:szCs w:val="21"/>
                <w:highlight w:val="none"/>
              </w:rPr>
              <w:t>，处理车间、冷库废气、污水处理设施恶臭</w:t>
            </w:r>
            <w:r>
              <w:rPr>
                <w:rFonts w:hint="eastAsia" w:ascii="Times New Roman" w:hAnsi="Times New Roman" w:cs="Times New Roman"/>
                <w:color w:val="auto"/>
                <w:kern w:val="0"/>
                <w:sz w:val="21"/>
                <w:szCs w:val="21"/>
                <w:highlight w:val="none"/>
                <w:lang w:val="en-US" w:eastAsia="zh-CN"/>
              </w:rPr>
              <w:t>经各出入料口集气罩收集</w:t>
            </w:r>
            <w:r>
              <w:rPr>
                <w:rFonts w:hint="default" w:ascii="Times New Roman" w:hAnsi="Times New Roman" w:cs="Times New Roman"/>
                <w:bCs/>
                <w:color w:val="auto"/>
                <w:sz w:val="21"/>
                <w:szCs w:val="21"/>
                <w:highlight w:val="none"/>
                <w:lang w:val="en-US" w:eastAsia="zh-CN"/>
              </w:rPr>
              <w:t>（综合收集效率取98%）</w:t>
            </w:r>
            <w:r>
              <w:rPr>
                <w:rFonts w:hint="eastAsia" w:ascii="Times New Roman" w:hAnsi="Times New Roman" w:cs="Times New Roman"/>
                <w:color w:val="auto"/>
                <w:kern w:val="0"/>
                <w:sz w:val="21"/>
                <w:szCs w:val="21"/>
                <w:highlight w:val="none"/>
                <w:lang w:val="en-US" w:eastAsia="zh-CN"/>
              </w:rPr>
              <w:t>，收集后统一</w:t>
            </w:r>
            <w:r>
              <w:rPr>
                <w:rFonts w:hint="default" w:ascii="Times New Roman" w:hAnsi="Times New Roman" w:cs="Times New Roman"/>
                <w:color w:val="auto"/>
                <w:kern w:val="0"/>
                <w:sz w:val="21"/>
                <w:szCs w:val="21"/>
                <w:highlight w:val="none"/>
              </w:rPr>
              <w:t>经“</w:t>
            </w:r>
            <w:r>
              <w:rPr>
                <w:rFonts w:hint="default" w:ascii="Times New Roman" w:hAnsi="Times New Roman" w:eastAsia="宋体" w:cs="Times New Roman"/>
                <w:color w:val="000000"/>
                <w:sz w:val="21"/>
                <w:szCs w:val="21"/>
                <w:highlight w:val="none"/>
                <w:lang w:val="en-US" w:eastAsia="zh-CN"/>
              </w:rPr>
              <w:t>雾化喷淋（除尘效率75%）--UV光催化氧化（处理效率60%）--活性炭吸附过滤（吸附效率90%）</w:t>
            </w:r>
            <w:r>
              <w:rPr>
                <w:rFonts w:hint="default" w:ascii="Times New Roman" w:hAnsi="Times New Roman" w:cs="Times New Roman"/>
                <w:color w:val="auto"/>
                <w:kern w:val="0"/>
                <w:sz w:val="21"/>
                <w:szCs w:val="21"/>
                <w:highlight w:val="none"/>
              </w:rPr>
              <w:t>”处理后经1根15m高排气筒排放。</w:t>
            </w:r>
          </w:p>
        </w:tc>
        <w:tc>
          <w:tcPr>
            <w:tcW w:w="290" w:type="pct"/>
            <w:vMerge w:val="restart"/>
            <w:noWrap w:val="0"/>
            <w:vAlign w:val="center"/>
          </w:tcPr>
          <w:p>
            <w:pPr>
              <w:adjustRightInd w:val="0"/>
              <w:snapToGrid w:val="0"/>
              <w:spacing w:line="360" w:lineRule="auto"/>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三同时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7"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1018" w:type="pct"/>
            <w:gridSpan w:val="3"/>
            <w:vMerge w:val="continue"/>
            <w:noWrap w:val="0"/>
            <w:vAlign w:val="center"/>
          </w:tcPr>
          <w:p>
            <w:pPr>
              <w:adjustRightInd w:val="0"/>
              <w:snapToGrid w:val="0"/>
              <w:spacing w:line="360" w:lineRule="auto"/>
              <w:jc w:val="center"/>
              <w:rPr>
                <w:rFonts w:hint="default" w:ascii="Times New Roman" w:hAnsi="Times New Roman" w:cs="Times New Roman"/>
                <w:bCs/>
                <w:sz w:val="21"/>
                <w:szCs w:val="21"/>
                <w:highlight w:val="yellow"/>
              </w:rPr>
            </w:pPr>
          </w:p>
        </w:tc>
        <w:tc>
          <w:tcPr>
            <w:tcW w:w="3523" w:type="pct"/>
            <w:noWrap w:val="0"/>
            <w:vAlign w:val="center"/>
          </w:tcPr>
          <w:p>
            <w:pPr>
              <w:adjustRightInd w:val="0"/>
              <w:snapToGrid w:val="0"/>
              <w:spacing w:line="360" w:lineRule="auto"/>
              <w:rPr>
                <w:rFonts w:hint="default" w:ascii="Times New Roman" w:hAnsi="Times New Roman" w:cs="Times New Roman"/>
                <w:kern w:val="0"/>
                <w:sz w:val="21"/>
                <w:szCs w:val="21"/>
              </w:rPr>
            </w:pPr>
            <w:r>
              <w:rPr>
                <w:rFonts w:hint="default" w:ascii="Times New Roman" w:hAnsi="Times New Roman" w:cs="Times New Roman"/>
                <w:kern w:val="0"/>
                <w:sz w:val="21"/>
                <w:szCs w:val="21"/>
              </w:rPr>
              <w:t>医废</w:t>
            </w:r>
            <w:r>
              <w:rPr>
                <w:rFonts w:hint="default" w:ascii="Times New Roman" w:hAnsi="Times New Roman" w:cs="Times New Roman"/>
                <w:kern w:val="0"/>
                <w:sz w:val="21"/>
                <w:szCs w:val="21"/>
                <w:lang w:val="en-US" w:eastAsia="zh-CN"/>
              </w:rPr>
              <w:t>贮存</w:t>
            </w:r>
            <w:r>
              <w:rPr>
                <w:rFonts w:hint="default" w:ascii="Times New Roman" w:hAnsi="Times New Roman" w:cs="Times New Roman"/>
                <w:kern w:val="0"/>
                <w:sz w:val="21"/>
                <w:szCs w:val="21"/>
              </w:rPr>
              <w:t>处理间无组织废气（G2）：医废</w:t>
            </w:r>
            <w:r>
              <w:rPr>
                <w:rFonts w:hint="default" w:ascii="Times New Roman" w:hAnsi="Times New Roman" w:cs="Times New Roman"/>
                <w:kern w:val="0"/>
                <w:sz w:val="21"/>
                <w:szCs w:val="21"/>
                <w:lang w:val="en-US" w:eastAsia="zh-CN"/>
              </w:rPr>
              <w:t>贮存</w:t>
            </w:r>
            <w:r>
              <w:rPr>
                <w:rFonts w:hint="default" w:ascii="Times New Roman" w:hAnsi="Times New Roman" w:cs="Times New Roman"/>
                <w:kern w:val="0"/>
                <w:sz w:val="21"/>
                <w:szCs w:val="21"/>
              </w:rPr>
              <w:t>处理间</w:t>
            </w:r>
            <w:r>
              <w:rPr>
                <w:rFonts w:hint="default" w:ascii="Times New Roman" w:hAnsi="Times New Roman" w:cs="Times New Roman"/>
                <w:bCs/>
                <w:sz w:val="21"/>
                <w:szCs w:val="21"/>
              </w:rPr>
              <w:t>为微负压状态，但人员、车辆进出有极少量无组织废气逸散，排放量极小，对周围环境影响较小。</w:t>
            </w:r>
          </w:p>
        </w:tc>
        <w:tc>
          <w:tcPr>
            <w:tcW w:w="290"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7"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1018" w:type="pct"/>
            <w:gridSpan w:val="3"/>
            <w:noWrap w:val="0"/>
            <w:vAlign w:val="center"/>
          </w:tcPr>
          <w:p>
            <w:pPr>
              <w:adjustRightInd w:val="0"/>
              <w:snapToGrid w:val="0"/>
              <w:spacing w:line="360" w:lineRule="auto"/>
              <w:jc w:val="center"/>
              <w:rPr>
                <w:rFonts w:hint="default" w:ascii="Times New Roman" w:hAnsi="Times New Roman" w:cs="Times New Roman"/>
                <w:bCs/>
                <w:sz w:val="21"/>
                <w:szCs w:val="21"/>
                <w:highlight w:val="yellow"/>
              </w:rPr>
            </w:pPr>
            <w:r>
              <w:rPr>
                <w:rFonts w:hint="default" w:ascii="Times New Roman" w:hAnsi="Times New Roman" w:cs="Times New Roman"/>
                <w:bCs/>
                <w:sz w:val="21"/>
                <w:szCs w:val="21"/>
                <w:highlight w:val="none"/>
              </w:rPr>
              <w:t>废水</w:t>
            </w:r>
          </w:p>
        </w:tc>
        <w:tc>
          <w:tcPr>
            <w:tcW w:w="3523" w:type="pct"/>
            <w:noWrap w:val="0"/>
            <w:vAlign w:val="center"/>
          </w:tcPr>
          <w:p>
            <w:pPr>
              <w:adjustRightInd w:val="0"/>
              <w:snapToGrid w:val="0"/>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本项目设一套一体化膜生物反应器处理设施处理项目区生产废水，处理量为</w:t>
            </w:r>
            <w:r>
              <w:rPr>
                <w:rFonts w:hint="default" w:ascii="Times New Roman" w:hAnsi="Times New Roman"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/d，主体处理工艺为“</w:t>
            </w:r>
            <w:r>
              <w:rPr>
                <w:rFonts w:hint="default" w:ascii="Times New Roman" w:hAnsi="Times New Roman" w:cs="Times New Roman"/>
                <w:color w:val="000000"/>
                <w:sz w:val="21"/>
                <w:szCs w:val="21"/>
                <w:highlight w:val="none"/>
                <w:lang w:val="en-US" w:eastAsia="zh-CN"/>
              </w:rPr>
              <w:t>格栅+</w:t>
            </w:r>
            <w:r>
              <w:rPr>
                <w:rFonts w:hint="default" w:ascii="Times New Roman" w:hAnsi="Times New Roman" w:cs="Times New Roman"/>
                <w:color w:val="000000"/>
                <w:sz w:val="21"/>
                <w:szCs w:val="21"/>
                <w:highlight w:val="none"/>
              </w:rPr>
              <w:t>调节池+</w:t>
            </w:r>
            <w:r>
              <w:rPr>
                <w:rFonts w:hint="default" w:ascii="Times New Roman" w:hAnsi="Times New Roman" w:cs="Times New Roman"/>
                <w:color w:val="000000"/>
                <w:sz w:val="21"/>
                <w:szCs w:val="21"/>
                <w:highlight w:val="none"/>
                <w:lang w:val="en-US" w:eastAsia="zh-CN"/>
              </w:rPr>
              <w:t>A</w:t>
            </w:r>
            <w:r>
              <w:rPr>
                <w:rFonts w:hint="default" w:ascii="Times New Roman" w:hAnsi="Times New Roman" w:cs="Times New Roman"/>
                <w:color w:val="000000"/>
                <w:sz w:val="21"/>
                <w:szCs w:val="21"/>
                <w:highlight w:val="none"/>
                <w:vertAlign w:val="subscript"/>
                <w:lang w:val="en-US" w:eastAsia="zh-CN"/>
              </w:rPr>
              <w:t>2</w:t>
            </w:r>
            <w:r>
              <w:rPr>
                <w:rFonts w:hint="default" w:ascii="Times New Roman" w:hAnsi="Times New Roman" w:cs="Times New Roman"/>
                <w:color w:val="000000"/>
                <w:sz w:val="21"/>
                <w:szCs w:val="21"/>
                <w:highlight w:val="none"/>
                <w:lang w:val="en-US" w:eastAsia="zh-CN"/>
              </w:rPr>
              <w:t>O+</w:t>
            </w:r>
            <w:r>
              <w:rPr>
                <w:rFonts w:hint="default" w:ascii="Times New Roman" w:hAnsi="Times New Roman" w:cs="Times New Roman"/>
                <w:color w:val="000000"/>
                <w:sz w:val="21"/>
                <w:szCs w:val="21"/>
                <w:highlight w:val="none"/>
              </w:rPr>
              <w:t>MBR 膜生物反应+消毒</w:t>
            </w:r>
            <w:r>
              <w:rPr>
                <w:rFonts w:hint="default" w:ascii="Times New Roman" w:hAnsi="Times New Roman" w:cs="Times New Roman"/>
                <w:color w:val="auto"/>
                <w:kern w:val="0"/>
                <w:sz w:val="21"/>
                <w:szCs w:val="21"/>
                <w:highlight w:val="none"/>
              </w:rPr>
              <w:t>”，设</w:t>
            </w:r>
            <w:r>
              <w:rPr>
                <w:rFonts w:hint="default" w:ascii="Times New Roman" w:hAnsi="Times New Roman" w:cs="Times New Roman"/>
                <w:color w:val="auto"/>
                <w:kern w:val="0"/>
                <w:sz w:val="21"/>
                <w:szCs w:val="21"/>
                <w:highlight w:val="none"/>
                <w:lang w:val="en-US" w:eastAsia="zh-CN"/>
              </w:rPr>
              <w:t>玻璃钢污水罐</w:t>
            </w:r>
            <w:r>
              <w:rPr>
                <w:rFonts w:hint="default" w:ascii="Times New Roman" w:hAnsi="Times New Roman" w:cs="Times New Roman"/>
                <w:color w:val="auto"/>
                <w:kern w:val="0"/>
                <w:sz w:val="21"/>
                <w:szCs w:val="21"/>
                <w:highlight w:val="none"/>
              </w:rPr>
              <w:t>一个，容积</w:t>
            </w:r>
            <w:r>
              <w:rPr>
                <w:rFonts w:hint="default" w:ascii="Times New Roman" w:hAnsi="Times New Roman" w:cs="Times New Roman"/>
                <w:color w:val="auto"/>
                <w:kern w:val="0"/>
                <w:sz w:val="21"/>
                <w:szCs w:val="21"/>
                <w:highlight w:val="none"/>
                <w:lang w:val="en-US" w:eastAsia="zh-CN"/>
              </w:rPr>
              <w:t>10</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bCs/>
                <w:color w:val="auto"/>
                <w:sz w:val="21"/>
                <w:szCs w:val="21"/>
                <w:highlight w:val="none"/>
              </w:rPr>
              <w:t>，</w:t>
            </w: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val="en-US" w:eastAsia="zh-CN"/>
              </w:rPr>
              <w:t>供暖季</w:t>
            </w:r>
            <w:r>
              <w:rPr>
                <w:rFonts w:hint="default" w:ascii="Times New Roman" w:hAnsi="Times New Roman" w:cs="Times New Roman"/>
                <w:color w:val="auto"/>
                <w:sz w:val="21"/>
                <w:szCs w:val="21"/>
                <w:highlight w:val="none"/>
                <w:lang w:eastAsia="zh-CN"/>
              </w:rPr>
              <w:t>废水</w:t>
            </w:r>
            <w:r>
              <w:rPr>
                <w:rFonts w:hint="default" w:ascii="Times New Roman" w:hAnsi="Times New Roman" w:cs="Times New Roman"/>
                <w:color w:val="auto"/>
                <w:sz w:val="21"/>
                <w:szCs w:val="21"/>
                <w:highlight w:val="none"/>
              </w:rPr>
              <w:t>量为</w:t>
            </w:r>
            <w:r>
              <w:rPr>
                <w:rFonts w:hint="default" w:ascii="Times New Roman" w:hAnsi="Times New Roman" w:cs="Times New Roman"/>
                <w:color w:val="auto"/>
                <w:sz w:val="21"/>
                <w:szCs w:val="21"/>
                <w:highlight w:val="none"/>
                <w:lang w:val="en-US" w:eastAsia="zh-CN"/>
              </w:rPr>
              <w:t>627.44</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非供暖季废水量为595.785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p>
            <w:pPr>
              <w:adjustRightInd w:val="0"/>
              <w:snapToGrid w:val="0"/>
              <w:spacing w:line="360" w:lineRule="auto"/>
              <w:jc w:val="center"/>
              <w:rPr>
                <w:rFonts w:hint="default" w:ascii="Times New Roman" w:hAnsi="Times New Roman" w:cs="Times New Roman"/>
                <w:bCs/>
                <w:color w:val="auto"/>
                <w:sz w:val="21"/>
                <w:szCs w:val="21"/>
              </w:rPr>
            </w:pPr>
            <w:r>
              <w:rPr>
                <w:rFonts w:hint="default" w:ascii="Times New Roman" w:hAnsi="Times New Roman" w:cs="Times New Roman"/>
                <w:color w:val="auto"/>
                <w:kern w:val="0"/>
                <w:sz w:val="21"/>
                <w:szCs w:val="21"/>
              </w:rPr>
              <w:t>本项目生产废水、生活污水分开收集，生产废水</w:t>
            </w:r>
            <w:r>
              <w:rPr>
                <w:rFonts w:hint="default" w:ascii="Times New Roman" w:hAnsi="Times New Roman" w:cs="Times New Roman"/>
                <w:bCs/>
                <w:color w:val="auto"/>
                <w:sz w:val="21"/>
                <w:szCs w:val="21"/>
              </w:rPr>
              <w:t>主要为医废转运车消毒废水、周转箱消毒废水、地面消毒废水、医废转运车清洗废水、周转箱清洗废水、地面清洗废水、蒸汽发生器排水、电锅炉排污水、初期雨水</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软水装置排污水</w:t>
            </w:r>
            <w:r>
              <w:rPr>
                <w:rFonts w:hint="default" w:ascii="Times New Roman" w:hAnsi="Times New Roman" w:cs="Times New Roman"/>
                <w:bCs/>
                <w:color w:val="auto"/>
                <w:sz w:val="21"/>
                <w:szCs w:val="21"/>
              </w:rPr>
              <w:t>等</w:t>
            </w:r>
            <w:r>
              <w:rPr>
                <w:rFonts w:hint="default" w:ascii="Times New Roman" w:hAnsi="Times New Roman" w:cs="Times New Roman"/>
                <w:color w:val="auto"/>
                <w:kern w:val="0"/>
                <w:sz w:val="21"/>
                <w:szCs w:val="21"/>
              </w:rPr>
              <w:t>，经处理车间内污水处理设施处理后</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非供暖季回用作为绿化用水，供暖季由罐车拉运至</w:t>
            </w:r>
            <w:r>
              <w:rPr>
                <w:rFonts w:hint="eastAsia" w:ascii="Times New Roman" w:hAnsi="Times New Roman" w:cs="Times New Roman"/>
                <w:color w:val="auto"/>
                <w:kern w:val="0"/>
                <w:sz w:val="21"/>
                <w:szCs w:val="21"/>
                <w:lang w:val="en-US" w:eastAsia="zh-CN"/>
              </w:rPr>
              <w:t>突泉县突泉镇清源污水处理厂</w:t>
            </w:r>
            <w:r>
              <w:rPr>
                <w:rFonts w:hint="default" w:ascii="Times New Roman" w:hAnsi="Times New Roman" w:cs="Times New Roman"/>
                <w:color w:val="auto"/>
                <w:kern w:val="0"/>
                <w:sz w:val="21"/>
                <w:szCs w:val="21"/>
                <w:lang w:val="en-US" w:eastAsia="zh-CN"/>
              </w:rPr>
              <w:t>进一步处理。</w:t>
            </w:r>
            <w:r>
              <w:rPr>
                <w:rFonts w:hint="default" w:ascii="Times New Roman" w:hAnsi="Times New Roman" w:cs="Times New Roman"/>
                <w:color w:val="auto"/>
                <w:kern w:val="0"/>
                <w:sz w:val="21"/>
                <w:szCs w:val="21"/>
              </w:rPr>
              <w:t>生活污水</w:t>
            </w:r>
            <w:r>
              <w:rPr>
                <w:rFonts w:hint="default" w:ascii="Times New Roman" w:hAnsi="Times New Roman" w:cs="Times New Roman"/>
                <w:color w:val="auto"/>
                <w:kern w:val="0"/>
                <w:sz w:val="21"/>
                <w:szCs w:val="21"/>
                <w:lang w:eastAsia="zh-CN"/>
              </w:rPr>
              <w:t>排入本项目</w:t>
            </w:r>
            <w:r>
              <w:rPr>
                <w:rFonts w:hint="default" w:ascii="Times New Roman" w:hAnsi="Times New Roman" w:cs="Times New Roman"/>
                <w:color w:val="auto"/>
                <w:kern w:val="0"/>
                <w:sz w:val="21"/>
                <w:szCs w:val="21"/>
              </w:rPr>
              <w:t>新建防渗化粪池后</w:t>
            </w:r>
            <w:r>
              <w:rPr>
                <w:rFonts w:hint="default" w:ascii="Times New Roman" w:hAnsi="Times New Roman" w:cs="Times New Roman"/>
                <w:color w:val="auto"/>
                <w:kern w:val="0"/>
                <w:sz w:val="21"/>
                <w:szCs w:val="21"/>
                <w:lang w:val="en-US" w:eastAsia="zh-CN"/>
              </w:rPr>
              <w:t>定期由吸污车清运至</w:t>
            </w:r>
            <w:r>
              <w:rPr>
                <w:rFonts w:hint="eastAsia" w:ascii="Times New Roman" w:hAnsi="Times New Roman" w:cs="Times New Roman"/>
                <w:color w:val="auto"/>
                <w:kern w:val="0"/>
                <w:sz w:val="21"/>
                <w:szCs w:val="21"/>
                <w:lang w:val="en-US" w:eastAsia="zh-CN"/>
              </w:rPr>
              <w:t>突泉县突泉镇清源污水处理厂</w:t>
            </w:r>
            <w:r>
              <w:rPr>
                <w:rFonts w:hint="default" w:ascii="Times New Roman" w:hAnsi="Times New Roman" w:cs="Times New Roman"/>
                <w:color w:val="auto"/>
                <w:kern w:val="0"/>
                <w:sz w:val="21"/>
                <w:szCs w:val="21"/>
                <w:lang w:val="en-US" w:eastAsia="zh-CN"/>
              </w:rPr>
              <w:t>进一步处理</w:t>
            </w:r>
            <w:r>
              <w:rPr>
                <w:rFonts w:hint="default" w:ascii="Times New Roman" w:hAnsi="Times New Roman" w:cs="Times New Roman"/>
                <w:color w:val="auto"/>
                <w:kern w:val="0"/>
                <w:sz w:val="21"/>
                <w:szCs w:val="21"/>
              </w:rPr>
              <w:t>。</w:t>
            </w:r>
          </w:p>
        </w:tc>
        <w:tc>
          <w:tcPr>
            <w:tcW w:w="290"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7"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1018" w:type="pct"/>
            <w:gridSpan w:val="3"/>
            <w:noWrap w:val="0"/>
            <w:vAlign w:val="center"/>
          </w:tcPr>
          <w:p>
            <w:pPr>
              <w:adjustRightInd w:val="0"/>
              <w:snapToGrid w:val="0"/>
              <w:spacing w:line="360" w:lineRule="auto"/>
              <w:jc w:val="center"/>
              <w:rPr>
                <w:rFonts w:hint="default" w:ascii="Times New Roman" w:hAnsi="Times New Roman" w:cs="Times New Roman"/>
                <w:bCs/>
                <w:sz w:val="21"/>
                <w:szCs w:val="21"/>
                <w:highlight w:val="yellow"/>
              </w:rPr>
            </w:pPr>
            <w:r>
              <w:rPr>
                <w:rFonts w:hint="default" w:ascii="Times New Roman" w:hAnsi="Times New Roman" w:cs="Times New Roman"/>
                <w:bCs/>
                <w:sz w:val="21"/>
                <w:szCs w:val="21"/>
                <w:highlight w:val="none"/>
              </w:rPr>
              <w:t>噪声</w:t>
            </w:r>
          </w:p>
        </w:tc>
        <w:tc>
          <w:tcPr>
            <w:tcW w:w="3523" w:type="pct"/>
            <w:noWrap w:val="0"/>
            <w:vAlign w:val="center"/>
          </w:tcPr>
          <w:p>
            <w:pPr>
              <w:adjustRightInd w:val="0"/>
              <w:snapToGrid w:val="0"/>
              <w:spacing w:line="360" w:lineRule="auto"/>
              <w:jc w:val="center"/>
              <w:rPr>
                <w:rFonts w:hint="default" w:ascii="Times New Roman" w:hAnsi="Times New Roman" w:cs="Times New Roman"/>
                <w:bCs/>
                <w:color w:val="auto"/>
                <w:sz w:val="21"/>
                <w:szCs w:val="21"/>
              </w:rPr>
            </w:pPr>
            <w:r>
              <w:rPr>
                <w:rFonts w:hint="default" w:ascii="Times New Roman" w:hAnsi="Times New Roman" w:cs="Times New Roman"/>
                <w:snapToGrid w:val="0"/>
                <w:color w:val="auto"/>
                <w:kern w:val="0"/>
                <w:sz w:val="21"/>
                <w:szCs w:val="21"/>
              </w:rPr>
              <w:t>选用低噪声设备、基础减振、墙体隔声、合理安排运输时间、厂区边界设置绿化带等降噪措施</w:t>
            </w:r>
          </w:p>
        </w:tc>
        <w:tc>
          <w:tcPr>
            <w:tcW w:w="290"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7"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1018" w:type="pct"/>
            <w:gridSpan w:val="3"/>
            <w:noWrap w:val="0"/>
            <w:vAlign w:val="center"/>
          </w:tcPr>
          <w:p>
            <w:pPr>
              <w:adjustRightInd w:val="0"/>
              <w:snapToGrid w:val="0"/>
              <w:spacing w:line="360" w:lineRule="auto"/>
              <w:jc w:val="center"/>
              <w:rPr>
                <w:rFonts w:hint="default" w:ascii="Times New Roman" w:hAnsi="Times New Roman" w:cs="Times New Roman"/>
                <w:bCs/>
                <w:sz w:val="21"/>
                <w:szCs w:val="21"/>
                <w:highlight w:val="yellow"/>
              </w:rPr>
            </w:pPr>
            <w:r>
              <w:rPr>
                <w:rFonts w:hint="default" w:ascii="Times New Roman" w:hAnsi="Times New Roman" w:cs="Times New Roman"/>
                <w:bCs/>
                <w:sz w:val="21"/>
                <w:szCs w:val="21"/>
                <w:highlight w:val="none"/>
              </w:rPr>
              <w:t>固废</w:t>
            </w:r>
          </w:p>
        </w:tc>
        <w:tc>
          <w:tcPr>
            <w:tcW w:w="3523" w:type="pct"/>
            <w:noWrap w:val="0"/>
            <w:vAlign w:val="center"/>
          </w:tcPr>
          <w:p>
            <w:pPr>
              <w:adjustRightInd w:val="0"/>
              <w:snapToGrid w:val="0"/>
              <w:spacing w:line="360" w:lineRule="auto"/>
              <w:jc w:val="center"/>
              <w:rPr>
                <w:rFonts w:hint="default" w:ascii="Times New Roman" w:hAnsi="Times New Roman" w:cs="Times New Roman"/>
                <w:bCs/>
                <w:color w:val="auto"/>
                <w:sz w:val="21"/>
                <w:szCs w:val="21"/>
              </w:rPr>
            </w:pPr>
            <w:r>
              <w:rPr>
                <w:rFonts w:hint="default" w:ascii="Times New Roman" w:hAnsi="Times New Roman" w:cs="Times New Roman"/>
                <w:color w:val="auto"/>
                <w:kern w:val="0"/>
                <w:sz w:val="21"/>
                <w:szCs w:val="21"/>
              </w:rPr>
              <w:t>本项目运营期产生的固体废物主要为生活垃圾、</w:t>
            </w:r>
            <w:r>
              <w:rPr>
                <w:rFonts w:hint="default" w:ascii="Times New Roman" w:hAnsi="Times New Roman" w:cs="Times New Roman"/>
                <w:color w:val="auto"/>
                <w:kern w:val="0"/>
                <w:sz w:val="21"/>
                <w:szCs w:val="21"/>
                <w:lang w:val="en-US" w:eastAsia="zh-CN"/>
              </w:rPr>
              <w:t>高温蒸汽</w:t>
            </w:r>
            <w:r>
              <w:rPr>
                <w:rFonts w:hint="default" w:ascii="Times New Roman" w:hAnsi="Times New Roman" w:cs="Times New Roman"/>
                <w:color w:val="auto"/>
                <w:kern w:val="0"/>
                <w:sz w:val="21"/>
                <w:szCs w:val="21"/>
              </w:rPr>
              <w:t>消毒系统处理后医疗废物、废活性炭、废UV灯管、污泥、废滤膜、废周转箱</w:t>
            </w:r>
            <w:r>
              <w:rPr>
                <w:rFonts w:hint="default" w:ascii="Times New Roman" w:hAnsi="Times New Roman" w:cs="Times New Roman"/>
                <w:color w:val="auto"/>
                <w:sz w:val="21"/>
                <w:szCs w:val="21"/>
              </w:rPr>
              <w:t>及废一次性防护用品</w:t>
            </w:r>
            <w:r>
              <w:rPr>
                <w:rFonts w:hint="default" w:ascii="Times New Roman" w:hAnsi="Times New Roman" w:cs="Times New Roman"/>
                <w:color w:val="auto"/>
                <w:kern w:val="0"/>
                <w:sz w:val="21"/>
                <w:szCs w:val="21"/>
              </w:rPr>
              <w:t>，废活性炭、废UV灯管、污泥、废周转箱</w:t>
            </w:r>
            <w:r>
              <w:rPr>
                <w:rFonts w:hint="default" w:ascii="Times New Roman" w:hAnsi="Times New Roman" w:cs="Times New Roman"/>
                <w:color w:val="auto"/>
                <w:sz w:val="21"/>
                <w:szCs w:val="21"/>
              </w:rPr>
              <w:t>及废一次性防护用品</w:t>
            </w:r>
            <w:r>
              <w:rPr>
                <w:rFonts w:hint="default" w:ascii="Times New Roman" w:hAnsi="Times New Roman" w:cs="Times New Roman"/>
                <w:color w:val="auto"/>
                <w:kern w:val="0"/>
                <w:sz w:val="21"/>
                <w:szCs w:val="21"/>
              </w:rPr>
              <w:t>按照</w:t>
            </w:r>
            <w:r>
              <w:rPr>
                <w:rFonts w:hint="default" w:ascii="Times New Roman" w:hAnsi="Times New Roman" w:cs="Times New Roman"/>
                <w:szCs w:val="21"/>
              </w:rPr>
              <w:t>《危险废物贮存污染控制标准》（GB18597-20</w:t>
            </w:r>
            <w:r>
              <w:rPr>
                <w:rStyle w:val="24"/>
                <w:rFonts w:hint="default" w:ascii="Times New Roman" w:hAnsi="Times New Roman" w:cs="Times New Roman"/>
                <w:kern w:val="0"/>
                <w:szCs w:val="20"/>
              </w:rPr>
              <w:t>23</w:t>
            </w:r>
            <w:r>
              <w:rPr>
                <w:rFonts w:hint="default" w:ascii="Times New Roman" w:hAnsi="Times New Roman" w:cs="Times New Roman"/>
                <w:szCs w:val="21"/>
              </w:rPr>
              <w:t>）</w:t>
            </w:r>
            <w:r>
              <w:rPr>
                <w:rFonts w:hint="default" w:ascii="Times New Roman" w:hAnsi="Times New Roman" w:cs="Times New Roman"/>
                <w:color w:val="auto"/>
                <w:sz w:val="21"/>
                <w:szCs w:val="21"/>
              </w:rPr>
              <w:t>中贮存标准，消毒后分类暂存处理车间内危废暂存间，委托有危废资质单位处置；</w:t>
            </w:r>
            <w:r>
              <w:rPr>
                <w:rFonts w:hint="default" w:ascii="Times New Roman" w:hAnsi="Times New Roman" w:cs="Times New Roman"/>
                <w:color w:val="auto"/>
                <w:kern w:val="0"/>
                <w:sz w:val="21"/>
                <w:szCs w:val="21"/>
                <w:lang w:val="en-US" w:eastAsia="zh-CN"/>
              </w:rPr>
              <w:t>高温蒸汽</w:t>
            </w:r>
            <w:r>
              <w:rPr>
                <w:rFonts w:hint="default" w:ascii="Times New Roman" w:hAnsi="Times New Roman" w:cs="Times New Roman"/>
                <w:color w:val="auto"/>
                <w:kern w:val="0"/>
                <w:sz w:val="21"/>
                <w:szCs w:val="21"/>
              </w:rPr>
              <w:t>消毒系统处理后医疗废物进入</w:t>
            </w:r>
            <w:r>
              <w:rPr>
                <w:rFonts w:hint="default" w:ascii="Times New Roman" w:hAnsi="Times New Roman" w:cs="Times New Roman"/>
                <w:color w:val="auto"/>
                <w:kern w:val="0"/>
                <w:sz w:val="21"/>
                <w:szCs w:val="21"/>
                <w:lang w:val="en-US" w:eastAsia="zh-CN" w:bidi="ar"/>
              </w:rPr>
              <w:t>阿尔山市生活垃圾</w:t>
            </w:r>
            <w:r>
              <w:rPr>
                <w:rFonts w:hint="default" w:ascii="Times New Roman" w:hAnsi="Times New Roman" w:cs="Times New Roman"/>
                <w:color w:val="auto"/>
                <w:kern w:val="0"/>
                <w:sz w:val="21"/>
                <w:szCs w:val="21"/>
                <w:lang w:bidi="ar"/>
              </w:rPr>
              <w:t>填埋场填埋处理；生活垃圾收集后进入</w:t>
            </w:r>
            <w:r>
              <w:rPr>
                <w:rFonts w:hint="default" w:ascii="Times New Roman" w:hAnsi="Times New Roman" w:cs="Times New Roman"/>
                <w:color w:val="auto"/>
                <w:kern w:val="0"/>
                <w:sz w:val="21"/>
                <w:szCs w:val="21"/>
                <w:lang w:val="en-US" w:eastAsia="zh-CN" w:bidi="ar"/>
              </w:rPr>
              <w:t>阿尔山市生活垃圾</w:t>
            </w:r>
            <w:r>
              <w:rPr>
                <w:rFonts w:hint="default" w:ascii="Times New Roman" w:hAnsi="Times New Roman" w:cs="Times New Roman"/>
                <w:color w:val="auto"/>
                <w:kern w:val="0"/>
                <w:sz w:val="21"/>
                <w:szCs w:val="21"/>
                <w:lang w:bidi="ar"/>
              </w:rPr>
              <w:t>填埋场填埋处理。</w:t>
            </w:r>
          </w:p>
        </w:tc>
        <w:tc>
          <w:tcPr>
            <w:tcW w:w="290"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7"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c>
          <w:tcPr>
            <w:tcW w:w="1018" w:type="pct"/>
            <w:gridSpan w:val="3"/>
            <w:noWrap w:val="0"/>
            <w:vAlign w:val="center"/>
          </w:tcPr>
          <w:p>
            <w:pPr>
              <w:adjustRightInd w:val="0"/>
              <w:snapToGrid w:val="0"/>
              <w:spacing w:line="360" w:lineRule="auto"/>
              <w:jc w:val="center"/>
              <w:rPr>
                <w:rFonts w:hint="default" w:ascii="Times New Roman" w:hAnsi="Times New Roman" w:cs="Times New Roman"/>
                <w:bCs/>
                <w:sz w:val="21"/>
                <w:szCs w:val="21"/>
                <w:highlight w:val="yellow"/>
              </w:rPr>
            </w:pPr>
            <w:r>
              <w:rPr>
                <w:rFonts w:hint="default" w:ascii="Times New Roman" w:hAnsi="Times New Roman" w:cs="Times New Roman"/>
                <w:bCs/>
                <w:sz w:val="21"/>
                <w:szCs w:val="21"/>
                <w:highlight w:val="none"/>
              </w:rPr>
              <w:t>防渗</w:t>
            </w:r>
          </w:p>
        </w:tc>
        <w:tc>
          <w:tcPr>
            <w:tcW w:w="3523" w:type="pct"/>
            <w:noWrap w:val="0"/>
            <w:vAlign w:val="center"/>
          </w:tcPr>
          <w:p>
            <w:pPr>
              <w:pStyle w:val="7"/>
              <w:spacing w:line="360" w:lineRule="auto"/>
              <w:rPr>
                <w:rFonts w:hint="default" w:ascii="Times New Roman" w:hAnsi="Times New Roman" w:cs="Times New Roman"/>
                <w:bCs/>
                <w:sz w:val="21"/>
                <w:szCs w:val="21"/>
              </w:rPr>
            </w:pPr>
            <w:r>
              <w:rPr>
                <w:rFonts w:hint="default" w:ascii="Times New Roman" w:hAnsi="Times New Roman" w:cs="Times New Roman"/>
                <w:kern w:val="0"/>
                <w:sz w:val="21"/>
                <w:szCs w:val="21"/>
                <w:lang w:val="en-US" w:eastAsia="zh-CN" w:bidi="ar"/>
              </w:rPr>
              <w:t>垃圾贮存处理间</w:t>
            </w:r>
            <w:r>
              <w:rPr>
                <w:rFonts w:hint="default" w:ascii="Times New Roman" w:hAnsi="Times New Roman" w:cs="Times New Roman"/>
                <w:kern w:val="0"/>
                <w:sz w:val="21"/>
                <w:szCs w:val="21"/>
                <w:lang w:bidi="ar"/>
              </w:rPr>
              <w:t>及</w:t>
            </w:r>
            <w:r>
              <w:rPr>
                <w:rFonts w:hint="default" w:ascii="Times New Roman" w:hAnsi="Times New Roman" w:cs="Times New Roman"/>
                <w:sz w:val="21"/>
                <w:szCs w:val="21"/>
              </w:rPr>
              <w:t>1.0米墙裙</w:t>
            </w:r>
            <w:r>
              <w:rPr>
                <w:rFonts w:hint="default" w:ascii="Times New Roman" w:hAnsi="Times New Roman" w:cs="Times New Roman"/>
                <w:kern w:val="0"/>
                <w:sz w:val="21"/>
                <w:szCs w:val="21"/>
                <w:lang w:bidi="ar"/>
              </w:rPr>
              <w:t>、污水处理区、</w:t>
            </w:r>
            <w:r>
              <w:rPr>
                <w:rFonts w:hint="eastAsia" w:ascii="Times New Roman" w:hAnsi="Times New Roman" w:cs="Times New Roman"/>
                <w:kern w:val="0"/>
                <w:sz w:val="21"/>
                <w:szCs w:val="21"/>
                <w:lang w:val="en-US" w:eastAsia="zh-CN" w:bidi="ar"/>
              </w:rPr>
              <w:t>玻璃钢污水罐区、车辆清洗间</w:t>
            </w:r>
            <w:r>
              <w:rPr>
                <w:rFonts w:hint="default" w:ascii="Times New Roman" w:hAnsi="Times New Roman" w:cs="Times New Roman"/>
                <w:kern w:val="0"/>
                <w:sz w:val="21"/>
                <w:szCs w:val="21"/>
                <w:lang w:val="en-US" w:eastAsia="zh-CN" w:bidi="ar"/>
              </w:rPr>
              <w:t>做重点防渗</w:t>
            </w:r>
            <w:r>
              <w:rPr>
                <w:rFonts w:hint="default" w:ascii="Times New Roman" w:hAnsi="Times New Roman" w:cs="Times New Roman"/>
                <w:kern w:val="0"/>
                <w:sz w:val="21"/>
                <w:szCs w:val="21"/>
                <w:lang w:bidi="ar"/>
              </w:rPr>
              <w:t>；车库</w:t>
            </w:r>
            <w:r>
              <w:rPr>
                <w:rFonts w:hint="default" w:ascii="Times New Roman" w:hAnsi="Times New Roman" w:cs="Times New Roman"/>
                <w:kern w:val="0"/>
                <w:sz w:val="21"/>
                <w:szCs w:val="21"/>
                <w:lang w:eastAsia="zh-CN" w:bidi="ar"/>
              </w:rPr>
              <w:t>、</w:t>
            </w:r>
            <w:r>
              <w:rPr>
                <w:rFonts w:hint="default" w:ascii="Times New Roman" w:hAnsi="Times New Roman" w:cs="Times New Roman"/>
                <w:kern w:val="0"/>
                <w:sz w:val="21"/>
                <w:szCs w:val="21"/>
                <w:lang w:val="en-US" w:eastAsia="zh-CN" w:bidi="ar"/>
              </w:rPr>
              <w:t>卫生间、药品储藏间做一般防渗；</w:t>
            </w:r>
            <w:r>
              <w:rPr>
                <w:rFonts w:hint="default" w:ascii="Times New Roman" w:hAnsi="Times New Roman" w:cs="Times New Roman"/>
                <w:kern w:val="0"/>
                <w:sz w:val="21"/>
                <w:szCs w:val="21"/>
                <w:lang w:bidi="ar"/>
              </w:rPr>
              <w:t>办公生活管理区、厂区道路</w:t>
            </w:r>
            <w:r>
              <w:rPr>
                <w:rFonts w:hint="default" w:ascii="Times New Roman" w:hAnsi="Times New Roman" w:cs="Times New Roman"/>
                <w:kern w:val="0"/>
                <w:sz w:val="21"/>
                <w:szCs w:val="21"/>
                <w:lang w:val="en-US" w:eastAsia="zh-CN" w:bidi="ar"/>
              </w:rPr>
              <w:t>做简单防渗</w:t>
            </w:r>
            <w:r>
              <w:rPr>
                <w:rFonts w:hint="default" w:ascii="Times New Roman" w:hAnsi="Times New Roman" w:cs="Times New Roman"/>
                <w:kern w:val="0"/>
                <w:sz w:val="21"/>
                <w:szCs w:val="21"/>
                <w:lang w:bidi="ar"/>
              </w:rPr>
              <w:t>。重点防渗区防渗层的防渗性能应达到等效黏土防渗层</w:t>
            </w:r>
            <w:r>
              <w:rPr>
                <w:rFonts w:hint="default" w:ascii="Times New Roman" w:hAnsi="Times New Roman" w:eastAsia="TimesNewRomanPSMT" w:cs="Times New Roman"/>
                <w:kern w:val="0"/>
                <w:sz w:val="21"/>
                <w:szCs w:val="21"/>
                <w:lang w:bidi="ar"/>
              </w:rPr>
              <w:t>Mb</w:t>
            </w:r>
            <w:r>
              <w:rPr>
                <w:rFonts w:hint="default" w:ascii="Times New Roman" w:hAnsi="Times New Roman" w:cs="Times New Roman"/>
                <w:kern w:val="0"/>
                <w:sz w:val="21"/>
                <w:szCs w:val="21"/>
                <w:lang w:bidi="ar"/>
              </w:rPr>
              <w:t>≥</w:t>
            </w:r>
            <w:r>
              <w:rPr>
                <w:rFonts w:hint="default" w:ascii="Times New Roman" w:hAnsi="Times New Roman" w:eastAsia="TimesNewRomanPSMT" w:cs="Times New Roman"/>
                <w:kern w:val="0"/>
                <w:sz w:val="21"/>
                <w:szCs w:val="21"/>
                <w:lang w:bidi="ar"/>
              </w:rPr>
              <w:t>6.0m</w:t>
            </w:r>
            <w:r>
              <w:rPr>
                <w:rFonts w:hint="default" w:ascii="Times New Roman" w:hAnsi="Times New Roman" w:cs="Times New Roman"/>
                <w:kern w:val="0"/>
                <w:sz w:val="21"/>
                <w:szCs w:val="21"/>
                <w:lang w:bidi="ar"/>
              </w:rPr>
              <w:t>，渗透系数</w:t>
            </w:r>
            <w:r>
              <w:rPr>
                <w:rFonts w:hint="default" w:ascii="Times New Roman" w:hAnsi="Times New Roman" w:eastAsia="TimesNewRomanPSMT" w:cs="Times New Roman"/>
                <w:kern w:val="0"/>
                <w:sz w:val="21"/>
                <w:szCs w:val="21"/>
                <w:lang w:bidi="ar"/>
              </w:rPr>
              <w:t>K</w:t>
            </w:r>
            <w:r>
              <w:rPr>
                <w:rFonts w:hint="default" w:ascii="Times New Roman" w:hAnsi="Times New Roman" w:cs="Times New Roman"/>
                <w:kern w:val="0"/>
                <w:sz w:val="21"/>
                <w:szCs w:val="21"/>
                <w:lang w:bidi="ar"/>
              </w:rPr>
              <w:t>≤</w:t>
            </w:r>
            <w:r>
              <w:rPr>
                <w:rFonts w:hint="default" w:ascii="Times New Roman" w:hAnsi="Times New Roman" w:eastAsia="TimesNewRomanPSMT" w:cs="Times New Roman"/>
                <w:kern w:val="0"/>
                <w:sz w:val="21"/>
                <w:szCs w:val="21"/>
                <w:lang w:bidi="ar"/>
              </w:rPr>
              <w:t>1×10</w:t>
            </w:r>
            <w:r>
              <w:rPr>
                <w:rFonts w:hint="default" w:ascii="Times New Roman" w:hAnsi="Times New Roman" w:eastAsia="TimesNewRomanPSMT" w:cs="Times New Roman"/>
                <w:kern w:val="0"/>
                <w:sz w:val="21"/>
                <w:szCs w:val="21"/>
                <w:vertAlign w:val="superscript"/>
                <w:lang w:bidi="ar"/>
              </w:rPr>
              <w:t>-</w:t>
            </w:r>
            <w:r>
              <w:rPr>
                <w:rFonts w:hint="eastAsia" w:ascii="Times New Roman" w:hAnsi="Times New Roman" w:eastAsia="宋体" w:cs="Times New Roman"/>
                <w:kern w:val="0"/>
                <w:sz w:val="21"/>
                <w:szCs w:val="21"/>
                <w:vertAlign w:val="superscript"/>
                <w:lang w:val="en-US" w:eastAsia="zh-CN" w:bidi="ar"/>
              </w:rPr>
              <w:t>10</w:t>
            </w:r>
            <w:r>
              <w:rPr>
                <w:rFonts w:hint="default" w:ascii="Times New Roman" w:hAnsi="Times New Roman" w:eastAsia="TimesNewRomanPSMT" w:cs="Times New Roman"/>
                <w:kern w:val="0"/>
                <w:sz w:val="21"/>
                <w:szCs w:val="21"/>
                <w:lang w:bidi="ar"/>
              </w:rPr>
              <w:t xml:space="preserve">cm/s </w:t>
            </w:r>
            <w:r>
              <w:rPr>
                <w:rFonts w:hint="default" w:ascii="Times New Roman" w:hAnsi="Times New Roman" w:cs="Times New Roman"/>
                <w:kern w:val="0"/>
                <w:sz w:val="21"/>
                <w:szCs w:val="21"/>
                <w:lang w:bidi="ar"/>
              </w:rPr>
              <w:t xml:space="preserve">；一般防渗区的防渗性能应达到等效黏土防渗层 </w:t>
            </w:r>
            <w:r>
              <w:rPr>
                <w:rFonts w:hint="default" w:ascii="Times New Roman" w:hAnsi="Times New Roman" w:eastAsia="TimesNewRomanPSMT" w:cs="Times New Roman"/>
                <w:kern w:val="0"/>
                <w:sz w:val="21"/>
                <w:szCs w:val="21"/>
                <w:lang w:bidi="ar"/>
              </w:rPr>
              <w:t>Mb</w:t>
            </w:r>
            <w:r>
              <w:rPr>
                <w:rFonts w:hint="default" w:ascii="Times New Roman" w:hAnsi="Times New Roman" w:cs="Times New Roman"/>
                <w:kern w:val="0"/>
                <w:sz w:val="21"/>
                <w:szCs w:val="21"/>
                <w:lang w:bidi="ar"/>
              </w:rPr>
              <w:t>≥</w:t>
            </w:r>
            <w:r>
              <w:rPr>
                <w:rFonts w:hint="default" w:ascii="Times New Roman" w:hAnsi="Times New Roman" w:eastAsia="TimesNewRomanPSMT" w:cs="Times New Roman"/>
                <w:kern w:val="0"/>
                <w:sz w:val="21"/>
                <w:szCs w:val="21"/>
                <w:lang w:bidi="ar"/>
              </w:rPr>
              <w:t>1.5m</w:t>
            </w:r>
            <w:r>
              <w:rPr>
                <w:rFonts w:hint="default" w:ascii="Times New Roman" w:hAnsi="Times New Roman" w:cs="Times New Roman"/>
                <w:kern w:val="0"/>
                <w:sz w:val="21"/>
                <w:szCs w:val="21"/>
                <w:lang w:bidi="ar"/>
              </w:rPr>
              <w:t>，渗透系数</w:t>
            </w:r>
            <w:r>
              <w:rPr>
                <w:rFonts w:hint="default" w:ascii="Times New Roman" w:hAnsi="Times New Roman" w:eastAsia="TimesNewRomanPSMT" w:cs="Times New Roman"/>
                <w:kern w:val="0"/>
                <w:sz w:val="21"/>
                <w:szCs w:val="21"/>
                <w:lang w:bidi="ar"/>
              </w:rPr>
              <w:t>K</w:t>
            </w:r>
            <w:r>
              <w:rPr>
                <w:rFonts w:hint="default" w:ascii="Times New Roman" w:hAnsi="Times New Roman" w:cs="Times New Roman"/>
                <w:kern w:val="0"/>
                <w:sz w:val="21"/>
                <w:szCs w:val="21"/>
                <w:lang w:bidi="ar"/>
              </w:rPr>
              <w:t>≤</w:t>
            </w:r>
            <w:r>
              <w:rPr>
                <w:rFonts w:hint="default" w:ascii="Times New Roman" w:hAnsi="Times New Roman" w:eastAsia="TimesNewRomanPSMT" w:cs="Times New Roman"/>
                <w:kern w:val="0"/>
                <w:sz w:val="21"/>
                <w:szCs w:val="21"/>
                <w:lang w:bidi="ar"/>
              </w:rPr>
              <w:t>1×10</w:t>
            </w:r>
            <w:r>
              <w:rPr>
                <w:rFonts w:hint="default" w:ascii="Times New Roman" w:hAnsi="Times New Roman" w:eastAsia="TimesNewRomanPSMT" w:cs="Times New Roman"/>
                <w:kern w:val="0"/>
                <w:sz w:val="21"/>
                <w:szCs w:val="21"/>
                <w:vertAlign w:val="superscript"/>
                <w:lang w:bidi="ar"/>
              </w:rPr>
              <w:t>-7</w:t>
            </w:r>
            <w:r>
              <w:rPr>
                <w:rFonts w:hint="default" w:ascii="Times New Roman" w:hAnsi="Times New Roman" w:eastAsia="TimesNewRomanPSMT" w:cs="Times New Roman"/>
                <w:kern w:val="0"/>
                <w:sz w:val="21"/>
                <w:szCs w:val="21"/>
                <w:lang w:bidi="ar"/>
              </w:rPr>
              <w:t>cm/s</w:t>
            </w:r>
            <w:r>
              <w:rPr>
                <w:rFonts w:hint="default" w:ascii="Times New Roman" w:hAnsi="Times New Roman" w:cs="Times New Roman"/>
                <w:kern w:val="0"/>
                <w:sz w:val="21"/>
                <w:szCs w:val="21"/>
                <w:lang w:bidi="ar"/>
              </w:rPr>
              <w:t>；简单防渗区采用水泥硬化。</w:t>
            </w:r>
          </w:p>
        </w:tc>
        <w:tc>
          <w:tcPr>
            <w:tcW w:w="290" w:type="pct"/>
            <w:vMerge w:val="continue"/>
            <w:noWrap w:val="0"/>
            <w:vAlign w:val="center"/>
          </w:tcPr>
          <w:p>
            <w:pPr>
              <w:adjustRightInd w:val="0"/>
              <w:snapToGrid w:val="0"/>
              <w:spacing w:line="360" w:lineRule="auto"/>
              <w:jc w:val="center"/>
              <w:rPr>
                <w:rFonts w:hint="default" w:ascii="Times New Roman" w:hAnsi="Times New Roman" w:cs="Times New Roman"/>
                <w:bCs/>
                <w:sz w:val="21"/>
                <w:szCs w:val="21"/>
              </w:rPr>
            </w:pPr>
          </w:p>
        </w:tc>
      </w:tr>
      <w:bookmarkEnd w:id="50"/>
    </w:tbl>
    <w:p>
      <w:pPr>
        <w:pStyle w:val="2"/>
        <w:spacing w:line="360" w:lineRule="auto"/>
        <w:ind w:left="0" w:leftChars="0" w:firstLine="0" w:firstLineChars="0"/>
        <w:rPr>
          <w:rFonts w:hint="default" w:ascii="Times New Roman" w:hAnsi="Times New Roman" w:cs="Times New Roman"/>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6"/>
        <w:bidi w:val="0"/>
        <w:spacing w:line="360" w:lineRule="auto"/>
        <w:rPr>
          <w:rFonts w:hint="default" w:ascii="Times New Roman" w:hAnsi="Times New Roman" w:cs="Times New Roman"/>
          <w:sz w:val="28"/>
          <w:szCs w:val="28"/>
          <w:lang w:val="en-US" w:eastAsia="zh-CN"/>
        </w:rPr>
      </w:pPr>
      <w:bookmarkStart w:id="51" w:name="_Toc14012"/>
      <w:r>
        <w:rPr>
          <w:rFonts w:hint="default" w:ascii="Times New Roman" w:hAnsi="Times New Roman" w:cs="Times New Roman"/>
          <w:sz w:val="28"/>
          <w:szCs w:val="28"/>
          <w:lang w:val="en-US" w:eastAsia="zh-CN"/>
        </w:rPr>
        <w:t>2.1.4 总体平面布置</w:t>
      </w:r>
      <w:bookmarkEnd w:id="51"/>
    </w:p>
    <w:p>
      <w:pPr>
        <w:pStyle w:val="3"/>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本项目占地属于环卫用地，位于阿尔山市生活垃圾填埋场西侧，</w:t>
      </w:r>
      <w:r>
        <w:rPr>
          <w:rFonts w:hint="default" w:ascii="Times New Roman" w:hAnsi="Times New Roman" w:eastAsia="宋体" w:cs="Times New Roman"/>
          <w:b w:val="0"/>
          <w:bCs w:val="0"/>
          <w:color w:val="000000"/>
          <w:sz w:val="24"/>
        </w:rPr>
        <w:t>填埋场建设办公区、填埋库区及道路工程。</w:t>
      </w:r>
      <w:r>
        <w:rPr>
          <w:rFonts w:hint="default" w:ascii="Times New Roman" w:hAnsi="Times New Roman" w:eastAsia="宋体" w:cs="Times New Roman"/>
          <w:b w:val="0"/>
          <w:bCs w:val="0"/>
          <w:color w:val="000000"/>
          <w:sz w:val="24"/>
          <w:lang w:val="en-US" w:eastAsia="zh-CN"/>
        </w:rPr>
        <w:t>其中办公区位于填埋场东侧，</w:t>
      </w:r>
      <w:r>
        <w:rPr>
          <w:rFonts w:hint="default" w:ascii="Times New Roman" w:hAnsi="Times New Roman" w:eastAsia="宋体" w:cs="Times New Roman"/>
          <w:b w:val="0"/>
          <w:bCs w:val="0"/>
          <w:sz w:val="24"/>
          <w:szCs w:val="24"/>
          <w:lang w:val="en-US" w:eastAsia="zh-CN"/>
        </w:rPr>
        <w:t>项目所在区域常年主导风向为西北风，办公区位于本项目侧风向，因此对填埋场办公生活区影响较小。</w:t>
      </w:r>
    </w:p>
    <w:p>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71135" cy="4084955"/>
            <wp:effectExtent l="0" t="0" r="571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1135" cy="4084955"/>
                    </a:xfrm>
                    <a:prstGeom prst="rect">
                      <a:avLst/>
                    </a:prstGeom>
                    <a:noFill/>
                    <a:ln>
                      <a:noFill/>
                    </a:ln>
                  </pic:spPr>
                </pic:pic>
              </a:graphicData>
            </a:graphic>
          </wp:inline>
        </w:drawing>
      </w:r>
    </w:p>
    <w:p>
      <w:pPr>
        <w:spacing w:line="360" w:lineRule="auto"/>
        <w:ind w:left="-315" w:leftChars="-150" w:firstLine="422" w:firstLineChars="200"/>
        <w:jc w:val="center"/>
        <w:rPr>
          <w:rFonts w:hint="default" w:ascii="Times New Roman" w:hAnsi="Times New Roman" w:cs="Times New Roman"/>
          <w:highlight w:val="none"/>
        </w:rPr>
      </w:pPr>
      <w:r>
        <w:rPr>
          <w:rFonts w:hint="default" w:ascii="Times New Roman" w:hAnsi="Times New Roman" w:cs="Times New Roman"/>
          <w:b/>
          <w:bCs/>
          <w:szCs w:val="21"/>
          <w:highlight w:val="none"/>
        </w:rPr>
        <w:t xml:space="preserve">图2.1-2   </w:t>
      </w:r>
      <w:r>
        <w:rPr>
          <w:rFonts w:hint="default" w:ascii="Times New Roman" w:hAnsi="Times New Roman" w:cs="Times New Roman"/>
          <w:b/>
          <w:bCs/>
          <w:color w:val="000000"/>
          <w:szCs w:val="21"/>
          <w:highlight w:val="none"/>
        </w:rPr>
        <w:t>本项目与</w:t>
      </w:r>
      <w:r>
        <w:rPr>
          <w:rFonts w:hint="default" w:ascii="Times New Roman" w:hAnsi="Times New Roman" w:cs="Times New Roman"/>
          <w:b/>
          <w:bCs/>
          <w:color w:val="000000"/>
          <w:szCs w:val="21"/>
          <w:highlight w:val="none"/>
          <w:lang w:val="en-US" w:eastAsia="zh-CN"/>
        </w:rPr>
        <w:t>阿尔山市</w:t>
      </w:r>
      <w:r>
        <w:rPr>
          <w:rFonts w:hint="default" w:ascii="Times New Roman" w:hAnsi="Times New Roman" w:cs="Times New Roman"/>
          <w:b/>
          <w:bCs/>
          <w:color w:val="000000"/>
          <w:szCs w:val="21"/>
          <w:highlight w:val="none"/>
        </w:rPr>
        <w:t>生活垃圾填埋场位置关系图</w:t>
      </w:r>
    </w:p>
    <w:p>
      <w:pPr>
        <w:spacing w:line="360" w:lineRule="auto"/>
        <w:ind w:firstLine="480" w:firstLineChars="200"/>
        <w:jc w:val="both"/>
        <w:rPr>
          <w:rFonts w:hint="default" w:ascii="Times New Roman" w:hAnsi="Times New Roman" w:cs="Times New Roman"/>
          <w:bCs/>
          <w:sz w:val="24"/>
        </w:rPr>
      </w:pPr>
      <w:r>
        <w:rPr>
          <w:rFonts w:hint="default" w:ascii="Times New Roman" w:hAnsi="Times New Roman" w:cs="Times New Roman"/>
          <w:color w:val="000000"/>
          <w:sz w:val="24"/>
          <w:szCs w:val="24"/>
        </w:rPr>
        <w:t>本项目医废物流出入口、接收贮存、转运、消毒冲洗设施与办公生活区采用实体墙体隔离分开设置，分别设人流、物流出入口</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本项目</w:t>
      </w:r>
      <w:r>
        <w:rPr>
          <w:rFonts w:hint="default" w:ascii="Times New Roman" w:hAnsi="Times New Roman" w:cs="Times New Roman"/>
          <w:bCs/>
          <w:sz w:val="24"/>
          <w:szCs w:val="24"/>
          <w:lang w:val="en-US" w:eastAsia="zh-CN"/>
        </w:rPr>
        <w:t>垃圾贮存处理间</w:t>
      </w:r>
      <w:r>
        <w:rPr>
          <w:rFonts w:hint="default" w:ascii="Times New Roman" w:hAnsi="Times New Roman" w:cs="Times New Roman"/>
          <w:color w:val="000000"/>
          <w:sz w:val="24"/>
          <w:szCs w:val="24"/>
        </w:rPr>
        <w:t>内按照功能分区进行设计，分为</w:t>
      </w:r>
      <w:r>
        <w:rPr>
          <w:rFonts w:hint="default" w:ascii="Times New Roman" w:hAnsi="Times New Roman" w:cs="Times New Roman"/>
          <w:bCs/>
          <w:sz w:val="24"/>
          <w:szCs w:val="24"/>
          <w:lang w:val="en-US" w:eastAsia="zh-CN"/>
        </w:rPr>
        <w:t>垃圾贮存间（冷库）、医废装料区、医废消毒处理区</w:t>
      </w:r>
      <w:r>
        <w:rPr>
          <w:rFonts w:hint="default" w:ascii="Times New Roman" w:hAnsi="Times New Roman" w:cs="Times New Roman"/>
          <w:bCs/>
          <w:color w:val="000000"/>
          <w:sz w:val="24"/>
        </w:rPr>
        <w:t xml:space="preserve"> 、</w:t>
      </w:r>
      <w:r>
        <w:rPr>
          <w:rFonts w:hint="default" w:ascii="Times New Roman" w:hAnsi="Times New Roman" w:cs="Times New Roman"/>
          <w:bCs/>
          <w:color w:val="000000"/>
          <w:sz w:val="24"/>
          <w:lang w:val="en-US" w:eastAsia="zh-CN"/>
        </w:rPr>
        <w:t>出料区、污水处理区、废气处理系统等</w:t>
      </w:r>
      <w:r>
        <w:rPr>
          <w:rFonts w:hint="default" w:ascii="Times New Roman" w:hAnsi="Times New Roman" w:cs="Times New Roman"/>
          <w:sz w:val="24"/>
          <w:lang w:eastAsia="zh-CN"/>
        </w:rPr>
        <w:t>。</w:t>
      </w:r>
      <w:r>
        <w:rPr>
          <w:rFonts w:hint="default" w:ascii="Times New Roman" w:hAnsi="Times New Roman" w:cs="Times New Roman"/>
          <w:bCs/>
          <w:sz w:val="24"/>
          <w:szCs w:val="24"/>
          <w:lang w:val="en-US" w:eastAsia="zh-CN"/>
        </w:rPr>
        <w:t>垃圾贮存处理间</w:t>
      </w:r>
      <w:r>
        <w:rPr>
          <w:rFonts w:hint="default" w:ascii="Times New Roman" w:hAnsi="Times New Roman" w:cs="Times New Roman"/>
          <w:sz w:val="24"/>
        </w:rPr>
        <w:t>内出入口设人流出入口、车流出入口，人员进出进行消毒，</w:t>
      </w:r>
      <w:r>
        <w:rPr>
          <w:rFonts w:hint="default" w:ascii="Times New Roman" w:hAnsi="Times New Roman" w:cs="Times New Roman"/>
          <w:sz w:val="24"/>
          <w:lang w:val="en-US" w:eastAsia="zh-CN"/>
        </w:rPr>
        <w:t>周转箱设有自动化清洗设备，</w:t>
      </w:r>
      <w:r>
        <w:rPr>
          <w:rFonts w:hint="default" w:ascii="Times New Roman" w:hAnsi="Times New Roman" w:cs="Times New Roman"/>
          <w:sz w:val="24"/>
        </w:rPr>
        <w:t>满足生产流程要求，本项目总平面布置合理，满足《医疗废物</w:t>
      </w:r>
      <w:r>
        <w:rPr>
          <w:rFonts w:hint="default" w:ascii="Times New Roman" w:hAnsi="Times New Roman" w:cs="Times New Roman"/>
          <w:sz w:val="24"/>
          <w:lang w:val="en-US" w:eastAsia="zh-CN"/>
        </w:rPr>
        <w:t>高温蒸汽</w:t>
      </w:r>
      <w:r>
        <w:rPr>
          <w:rFonts w:hint="default" w:ascii="Times New Roman" w:hAnsi="Times New Roman" w:cs="Times New Roman"/>
          <w:sz w:val="24"/>
        </w:rPr>
        <w:t>消毒集中处理工程技术规范》（HJ</w:t>
      </w:r>
      <w:r>
        <w:rPr>
          <w:rFonts w:hint="default" w:ascii="Times New Roman" w:hAnsi="Times New Roman" w:cs="Times New Roman"/>
          <w:sz w:val="24"/>
          <w:lang w:val="en-US" w:eastAsia="zh-CN"/>
        </w:rPr>
        <w:t>276</w:t>
      </w:r>
      <w:r>
        <w:rPr>
          <w:rFonts w:hint="default" w:ascii="Times New Roman" w:hAnsi="Times New Roman" w:cs="Times New Roman"/>
          <w:sz w:val="24"/>
        </w:rPr>
        <w:t>-2021）中要求。</w:t>
      </w:r>
      <w:r>
        <w:rPr>
          <w:rFonts w:hint="default" w:ascii="Times New Roman" w:hAnsi="Times New Roman" w:cs="Times New Roman"/>
          <w:bCs/>
          <w:sz w:val="24"/>
        </w:rPr>
        <w:t>本项目与</w:t>
      </w:r>
      <w:r>
        <w:rPr>
          <w:rFonts w:hint="default" w:ascii="Times New Roman" w:hAnsi="Times New Roman" w:cs="Times New Roman"/>
          <w:bCs/>
          <w:sz w:val="24"/>
          <w:lang w:val="en-US" w:eastAsia="zh-CN"/>
        </w:rPr>
        <w:t>阿尔山市</w:t>
      </w:r>
      <w:r>
        <w:rPr>
          <w:rFonts w:hint="default" w:ascii="Times New Roman" w:hAnsi="Times New Roman" w:cs="Times New Roman"/>
          <w:bCs/>
          <w:sz w:val="24"/>
        </w:rPr>
        <w:t>生活垃圾填埋场位置关系见图2.1-2，项目总平面布置见图2.1-3，</w:t>
      </w:r>
      <w:r>
        <w:rPr>
          <w:rFonts w:hint="default" w:ascii="Times New Roman" w:hAnsi="Times New Roman" w:cs="Times New Roman"/>
          <w:bCs/>
          <w:sz w:val="24"/>
          <w:lang w:val="en-US" w:eastAsia="zh-CN"/>
        </w:rPr>
        <w:t>垃圾贮存</w:t>
      </w:r>
      <w:r>
        <w:rPr>
          <w:rFonts w:hint="default" w:ascii="Times New Roman" w:hAnsi="Times New Roman" w:cs="Times New Roman"/>
          <w:bCs/>
          <w:sz w:val="24"/>
        </w:rPr>
        <w:t>处理间平面布置见2.1-4。</w:t>
      </w:r>
    </w:p>
    <w:p>
      <w:pPr>
        <w:spacing w:line="360" w:lineRule="auto"/>
        <w:jc w:val="both"/>
        <w:rPr>
          <w:rFonts w:hint="default" w:ascii="Times New Roman" w:hAnsi="Times New Roman" w:cs="Times New Roman"/>
        </w:rPr>
      </w:pPr>
      <w:r>
        <w:rPr>
          <w:rFonts w:hint="default" w:ascii="Times New Roman" w:hAnsi="Times New Roman" w:cs="Times New Roman"/>
        </w:rPr>
        <w:drawing>
          <wp:inline distT="0" distB="0" distL="114300" distR="114300">
            <wp:extent cx="5268595" cy="3062605"/>
            <wp:effectExtent l="0" t="0" r="8255"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5268595" cy="3062605"/>
                    </a:xfrm>
                    <a:prstGeom prst="rect">
                      <a:avLst/>
                    </a:prstGeom>
                    <a:noFill/>
                    <a:ln>
                      <a:noFill/>
                    </a:ln>
                  </pic:spPr>
                </pic:pic>
              </a:graphicData>
            </a:graphic>
          </wp:inline>
        </w:drawing>
      </w:r>
    </w:p>
    <w:p>
      <w:pPr>
        <w:pStyle w:val="2"/>
        <w:spacing w:line="36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图2.1-3 项目总平面布置图</w:t>
      </w:r>
    </w:p>
    <w:p>
      <w:pPr>
        <w:pStyle w:val="2"/>
        <w:spacing w:line="360" w:lineRule="auto"/>
        <w:ind w:left="0" w:leftChars="0" w:firstLine="0" w:firstLineChars="0"/>
        <w:jc w:val="both"/>
        <w:rPr>
          <w:rFonts w:hint="default" w:ascii="Times New Roman" w:hAnsi="Times New Roman" w:eastAsia="宋体" w:cs="Times New Roman"/>
          <w:sz w:val="21"/>
          <w:szCs w:val="21"/>
          <w:lang w:val="en-US" w:eastAsia="zh-CN"/>
        </w:rPr>
        <w:sectPr>
          <w:pgSz w:w="11906" w:h="16838"/>
          <w:pgMar w:top="1440" w:right="1800" w:bottom="1440" w:left="1800" w:header="851" w:footer="992" w:gutter="0"/>
          <w:pgNumType w:fmt="decimal"/>
          <w:cols w:space="425" w:num="1"/>
          <w:docGrid w:type="lines" w:linePitch="312" w:charSpace="0"/>
        </w:sectPr>
      </w:pPr>
    </w:p>
    <w:p>
      <w:pPr>
        <w:pStyle w:val="3"/>
        <w:spacing w:line="360" w:lineRule="auto"/>
        <w:outlineLvl w:val="9"/>
        <w:rPr>
          <w:rFonts w:hint="default" w:ascii="Times New Roman" w:hAnsi="Times New Roman" w:cs="Times New Roman"/>
        </w:rPr>
      </w:pPr>
      <w:r>
        <w:drawing>
          <wp:inline distT="0" distB="0" distL="114300" distR="114300">
            <wp:extent cx="8859520" cy="3157220"/>
            <wp:effectExtent l="0" t="0" r="17780" b="5080"/>
            <wp:docPr id="5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7"/>
                    <pic:cNvPicPr>
                      <a:picLocks noChangeAspect="1"/>
                    </pic:cNvPicPr>
                  </pic:nvPicPr>
                  <pic:blipFill>
                    <a:blip r:embed="rId12"/>
                    <a:stretch>
                      <a:fillRect/>
                    </a:stretch>
                  </pic:blipFill>
                  <pic:spPr>
                    <a:xfrm>
                      <a:off x="0" y="0"/>
                      <a:ext cx="8859520" cy="3157220"/>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图2.1-4 垃圾贮存处理间平面布置图</w:t>
      </w:r>
    </w:p>
    <w:p>
      <w:pPr>
        <w:pStyle w:val="3"/>
        <w:spacing w:line="360" w:lineRule="auto"/>
        <w:outlineLvl w:val="9"/>
        <w:rPr>
          <w:rFonts w:hint="default" w:ascii="Times New Roman" w:hAnsi="Times New Roman" w:eastAsia="宋体" w:cs="Times New Roman"/>
          <w:b w:val="0"/>
          <w:bCs w:val="0"/>
          <w:sz w:val="24"/>
          <w:szCs w:val="24"/>
          <w:lang w:val="en-US" w:eastAsia="zh-CN"/>
        </w:rPr>
        <w:sectPr>
          <w:pgSz w:w="16838" w:h="11906" w:orient="landscape"/>
          <w:pgMar w:top="1800" w:right="1440" w:bottom="1800" w:left="1440" w:header="851" w:footer="992" w:gutter="0"/>
          <w:pgNumType w:fmt="decimal"/>
          <w:cols w:space="425" w:num="1"/>
          <w:docGrid w:type="lines" w:linePitch="312" w:charSpace="0"/>
        </w:sectPr>
      </w:pPr>
    </w:p>
    <w:p>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pStyle w:val="36"/>
        <w:rPr>
          <w:rFonts w:hint="default" w:ascii="Times New Roman" w:hAnsi="Times New Roman" w:cs="Times New Roman"/>
        </w:rPr>
      </w:pPr>
      <w:bookmarkStart w:id="52" w:name="_Toc8503"/>
      <w:bookmarkStart w:id="53" w:name="_Toc10195"/>
      <w:r>
        <w:rPr>
          <w:rFonts w:hint="default" w:ascii="Times New Roman" w:hAnsi="Times New Roman" w:cs="Times New Roman"/>
        </w:rPr>
        <w:t>第5章   环境风险分析</w:t>
      </w:r>
      <w:bookmarkEnd w:id="52"/>
      <w:bookmarkEnd w:id="53"/>
    </w:p>
    <w:p>
      <w:pPr>
        <w:pStyle w:val="5"/>
        <w:spacing w:before="0" w:after="0" w:line="360" w:lineRule="auto"/>
        <w:rPr>
          <w:rFonts w:hint="default" w:ascii="Times New Roman" w:hAnsi="Times New Roman" w:eastAsia="宋体" w:cs="Times New Roman"/>
          <w:sz w:val="30"/>
          <w:szCs w:val="30"/>
        </w:rPr>
      </w:pPr>
      <w:bookmarkStart w:id="54" w:name="_Toc439257865"/>
      <w:bookmarkStart w:id="55" w:name="_Toc6131"/>
      <w:bookmarkStart w:id="56" w:name="_Toc835"/>
      <w:r>
        <w:rPr>
          <w:rFonts w:hint="default" w:ascii="Times New Roman" w:hAnsi="Times New Roman" w:eastAsia="宋体" w:cs="Times New Roman"/>
          <w:sz w:val="30"/>
          <w:szCs w:val="30"/>
        </w:rPr>
        <w:t>5.1</w:t>
      </w:r>
      <w:bookmarkEnd w:id="54"/>
      <w:r>
        <w:rPr>
          <w:rFonts w:hint="default" w:ascii="Times New Roman" w:hAnsi="Times New Roman" w:eastAsia="宋体" w:cs="Times New Roman"/>
          <w:sz w:val="30"/>
          <w:szCs w:val="30"/>
        </w:rPr>
        <w:t>评价原则</w:t>
      </w:r>
      <w:bookmarkEnd w:id="55"/>
      <w:bookmarkEnd w:id="56"/>
    </w:p>
    <w:p>
      <w:pPr>
        <w:pStyle w:val="34"/>
        <w:rPr>
          <w:rFonts w:hint="default" w:ascii="Times New Roman" w:hAnsi="Times New Roman" w:cs="Times New Roman"/>
          <w:color w:val="auto"/>
          <w:szCs w:val="24"/>
        </w:rPr>
      </w:pPr>
      <w:r>
        <w:rPr>
          <w:rFonts w:hint="default" w:ascii="Times New Roman" w:hAnsi="Times New Roman" w:cs="Times New Roman"/>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r>
        <w:rPr>
          <w:rFonts w:hint="default" w:ascii="Times New Roman" w:hAnsi="Times New Roman" w:cs="Times New Roman"/>
          <w:color w:val="auto"/>
          <w:szCs w:val="24"/>
        </w:rPr>
        <w:t>。</w:t>
      </w:r>
    </w:p>
    <w:p>
      <w:pPr>
        <w:pStyle w:val="5"/>
        <w:spacing w:before="0" w:after="0" w:line="360" w:lineRule="auto"/>
        <w:rPr>
          <w:rFonts w:hint="default" w:ascii="Times New Roman" w:hAnsi="Times New Roman" w:eastAsia="宋体" w:cs="Times New Roman"/>
          <w:sz w:val="30"/>
          <w:szCs w:val="30"/>
        </w:rPr>
      </w:pPr>
      <w:bookmarkStart w:id="57" w:name="_Toc27298"/>
      <w:bookmarkStart w:id="58" w:name="_Toc21444"/>
      <w:bookmarkStart w:id="59" w:name="_Toc32041"/>
      <w:r>
        <w:rPr>
          <w:rFonts w:hint="default" w:ascii="Times New Roman" w:hAnsi="Times New Roman" w:eastAsia="宋体" w:cs="Times New Roman"/>
          <w:sz w:val="30"/>
          <w:szCs w:val="30"/>
        </w:rPr>
        <w:t>5.2评价工作程序</w:t>
      </w:r>
      <w:bookmarkEnd w:id="57"/>
      <w:bookmarkEnd w:id="58"/>
      <w:bookmarkEnd w:id="59"/>
    </w:p>
    <w:p>
      <w:pPr>
        <w:pStyle w:val="34"/>
        <w:rPr>
          <w:rFonts w:hint="default" w:ascii="Times New Roman" w:hAnsi="Times New Roman" w:cs="Times New Roman"/>
        </w:rPr>
      </w:pPr>
      <w:r>
        <w:rPr>
          <w:rFonts w:hint="default" w:ascii="Times New Roman" w:hAnsi="Times New Roman" w:cs="Times New Roman"/>
        </w:rPr>
        <w:t>评价工作程序见图5.2-1。</w:t>
      </w:r>
    </w:p>
    <w:p>
      <w:pPr>
        <w:jc w:val="center"/>
        <w:rPr>
          <w:rFonts w:hint="default" w:ascii="Times New Roman" w:hAnsi="Times New Roman" w:cs="Times New Roman"/>
          <w:color w:val="000000"/>
        </w:rPr>
      </w:pPr>
      <w:r>
        <w:rPr>
          <w:rFonts w:hint="default" w:ascii="Times New Roman" w:hAnsi="Times New Roman" w:cs="Times New Roman"/>
          <w:color w:val="000000"/>
        </w:rPr>
        <w:drawing>
          <wp:inline distT="0" distB="0" distL="114300" distR="114300">
            <wp:extent cx="4705350" cy="5647690"/>
            <wp:effectExtent l="0" t="0" r="0" b="1016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13"/>
                    <a:stretch>
                      <a:fillRect/>
                    </a:stretch>
                  </pic:blipFill>
                  <pic:spPr>
                    <a:xfrm>
                      <a:off x="0" y="0"/>
                      <a:ext cx="4705350" cy="5647690"/>
                    </a:xfrm>
                    <a:prstGeom prst="rect">
                      <a:avLst/>
                    </a:prstGeom>
                    <a:noFill/>
                    <a:ln>
                      <a:noFill/>
                    </a:ln>
                  </pic:spPr>
                </pic:pic>
              </a:graphicData>
            </a:graphic>
          </wp:inline>
        </w:drawing>
      </w:r>
    </w:p>
    <w:p>
      <w:pPr>
        <w:spacing w:line="360" w:lineRule="auto"/>
        <w:jc w:val="center"/>
        <w:rPr>
          <w:rFonts w:hint="eastAsia" w:ascii="Times New Roman" w:hAnsi="Times New Roman" w:eastAsia="宋体" w:cs="Times New Roman"/>
          <w:sz w:val="24"/>
          <w:szCs w:val="24"/>
          <w:lang w:val="en-US" w:eastAsia="zh-CN"/>
        </w:rPr>
      </w:pPr>
      <w:r>
        <w:rPr>
          <w:rFonts w:hint="default" w:ascii="Times New Roman" w:hAnsi="Times New Roman" w:cs="Times New Roman"/>
          <w:b/>
          <w:bCs/>
          <w:color w:val="000000"/>
          <w:szCs w:val="18"/>
        </w:rPr>
        <w:t>图5.2-1    评价工作程序</w:t>
      </w:r>
    </w:p>
    <w:p>
      <w:pPr>
        <w:pStyle w:val="5"/>
        <w:spacing w:before="0" w:after="0" w:line="360" w:lineRule="auto"/>
        <w:rPr>
          <w:rFonts w:hint="default" w:ascii="Times New Roman" w:hAnsi="Times New Roman" w:eastAsia="宋体" w:cs="Times New Roman"/>
          <w:sz w:val="30"/>
          <w:szCs w:val="30"/>
        </w:rPr>
      </w:pPr>
      <w:bookmarkStart w:id="60" w:name="_Toc27894"/>
      <w:bookmarkStart w:id="61" w:name="_Toc29828"/>
      <w:r>
        <w:rPr>
          <w:rFonts w:hint="default" w:ascii="Times New Roman" w:hAnsi="Times New Roman" w:eastAsia="宋体" w:cs="Times New Roman"/>
          <w:sz w:val="30"/>
          <w:szCs w:val="30"/>
        </w:rPr>
        <w:t>5.3风险调查</w:t>
      </w:r>
      <w:bookmarkEnd w:id="60"/>
      <w:bookmarkEnd w:id="61"/>
    </w:p>
    <w:p>
      <w:pPr>
        <w:pStyle w:val="6"/>
        <w:spacing w:before="0" w:after="0" w:line="360" w:lineRule="auto"/>
        <w:rPr>
          <w:rFonts w:hint="default" w:ascii="Times New Roman" w:hAnsi="Times New Roman" w:cs="Times New Roman"/>
          <w:kern w:val="0"/>
          <w:sz w:val="28"/>
        </w:rPr>
      </w:pPr>
      <w:bookmarkStart w:id="62" w:name="_Toc30046"/>
      <w:bookmarkStart w:id="63" w:name="_Toc574"/>
      <w:r>
        <w:rPr>
          <w:rFonts w:hint="default" w:ascii="Times New Roman" w:hAnsi="Times New Roman" w:cs="Times New Roman"/>
          <w:kern w:val="0"/>
          <w:sz w:val="28"/>
        </w:rPr>
        <w:t>5.3.1建设项目风险源调查</w:t>
      </w:r>
      <w:bookmarkEnd w:id="62"/>
      <w:bookmarkEnd w:id="63"/>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1"/>
        </w:rPr>
        <w:t>建设项目风险源调查内容主要包括：调查建设项目危险物质数量和分布情况、生产工艺特点，收集危险物质安全技术说明书（MSDS）等基础资料。本项目涉及的物质主要为消毒物资次氯酸钠、医疗废物等，根据毒性、用量、贮存、使用情况和《建设项目环境风险评价技术导则》（HJ169-2018）中附录B进行判定，本项目生产过程中涉及的风险物质主要为次氯酸钠。</w:t>
      </w:r>
    </w:p>
    <w:p>
      <w:pPr>
        <w:widowControl/>
        <w:spacing w:line="360" w:lineRule="auto"/>
        <w:ind w:firstLine="480" w:firstLineChars="200"/>
        <w:jc w:val="left"/>
        <w:rPr>
          <w:sz w:val="24"/>
          <w:szCs w:val="21"/>
        </w:rPr>
      </w:pPr>
      <w:r>
        <w:rPr>
          <w:rFonts w:hint="default" w:ascii="Times New Roman" w:hAnsi="Times New Roman" w:cs="Times New Roman"/>
          <w:sz w:val="24"/>
          <w:szCs w:val="21"/>
        </w:rPr>
        <w:t>次氯酸钠暂存在</w:t>
      </w:r>
      <w:r>
        <w:rPr>
          <w:rFonts w:hint="default" w:ascii="Times New Roman" w:hAnsi="Times New Roman" w:cs="Times New Roman"/>
          <w:sz w:val="24"/>
          <w:szCs w:val="21"/>
          <w:lang w:val="en-US" w:eastAsia="zh-CN"/>
        </w:rPr>
        <w:t>药品间内</w:t>
      </w:r>
      <w:r>
        <w:rPr>
          <w:rFonts w:hint="default" w:ascii="Times New Roman" w:hAnsi="Times New Roman" w:cs="Times New Roman"/>
          <w:sz w:val="24"/>
          <w:szCs w:val="21"/>
        </w:rPr>
        <w:t>，最大存放量为0.05t。次氯酸钠安全技术说明书见表5.3-1。</w:t>
      </w:r>
    </w:p>
    <w:p>
      <w:pPr>
        <w:widowControl/>
        <w:jc w:val="center"/>
        <w:rPr>
          <w:rFonts w:hint="default" w:ascii="Times New Roman" w:hAnsi="Times New Roman" w:cs="Times New Roman"/>
          <w:b/>
          <w:bCs/>
          <w:color w:val="000000"/>
          <w:kern w:val="0"/>
          <w:szCs w:val="15"/>
        </w:rPr>
      </w:pPr>
      <w:r>
        <w:rPr>
          <w:rFonts w:hint="default" w:ascii="Times New Roman" w:hAnsi="Times New Roman" w:cs="Times New Roman"/>
          <w:b/>
          <w:bCs/>
          <w:szCs w:val="18"/>
        </w:rPr>
        <w:t>表5.3-1   次氯酸钠安全技术说明书（MSDS）一览表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3648"/>
        <w:gridCol w:w="37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3" w:type="pct"/>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标识</w:t>
            </w:r>
          </w:p>
        </w:tc>
        <w:tc>
          <w:tcPr>
            <w:tcW w:w="214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中文名：次氯酸钠</w:t>
            </w:r>
          </w:p>
        </w:tc>
        <w:tc>
          <w:tcPr>
            <w:tcW w:w="222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英文名： sodium hypochlorite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633" w:type="pct"/>
            <w:vMerge w:val="continue"/>
            <w:noWrap w:val="0"/>
            <w:vAlign w:val="center"/>
          </w:tcPr>
          <w:p>
            <w:pPr>
              <w:jc w:val="center"/>
              <w:rPr>
                <w:rFonts w:hint="default" w:ascii="Times New Roman" w:hAnsi="Times New Roman" w:cs="Times New Roman"/>
                <w:szCs w:val="21"/>
              </w:rPr>
            </w:pPr>
          </w:p>
        </w:tc>
        <w:tc>
          <w:tcPr>
            <w:tcW w:w="214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分子式： NaClO</w:t>
            </w:r>
          </w:p>
        </w:tc>
        <w:tc>
          <w:tcPr>
            <w:tcW w:w="222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分子量： 74.44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3" w:type="pct"/>
            <w:vMerge w:val="continue"/>
            <w:noWrap w:val="0"/>
            <w:vAlign w:val="center"/>
          </w:tcPr>
          <w:p>
            <w:pPr>
              <w:jc w:val="center"/>
              <w:rPr>
                <w:rFonts w:hint="default" w:ascii="Times New Roman" w:hAnsi="Times New Roman" w:cs="Times New Roman"/>
                <w:szCs w:val="21"/>
              </w:rPr>
            </w:pPr>
          </w:p>
        </w:tc>
        <w:tc>
          <w:tcPr>
            <w:tcW w:w="214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危规号</w:t>
            </w:r>
          </w:p>
        </w:tc>
        <w:tc>
          <w:tcPr>
            <w:tcW w:w="222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CAS 号： 7681-52-9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3" w:type="pct"/>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理化性质</w:t>
            </w:r>
          </w:p>
        </w:tc>
        <w:tc>
          <w:tcPr>
            <w:tcW w:w="4366" w:type="pct"/>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外观与性状：微黄色溶液，有似氯气的气味。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3" w:type="pct"/>
            <w:vMerge w:val="continue"/>
            <w:noWrap w:val="0"/>
            <w:vAlign w:val="center"/>
          </w:tcPr>
          <w:p>
            <w:pPr>
              <w:jc w:val="center"/>
              <w:rPr>
                <w:rFonts w:hint="default" w:ascii="Times New Roman" w:hAnsi="Times New Roman" w:cs="Times New Roman"/>
                <w:szCs w:val="21"/>
              </w:rPr>
            </w:pPr>
          </w:p>
        </w:tc>
        <w:tc>
          <w:tcPr>
            <w:tcW w:w="4366" w:type="pct"/>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溶解性：溶于水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3" w:type="pct"/>
            <w:vMerge w:val="continue"/>
            <w:noWrap w:val="0"/>
            <w:vAlign w:val="center"/>
          </w:tcPr>
          <w:p>
            <w:pPr>
              <w:jc w:val="center"/>
              <w:rPr>
                <w:rFonts w:hint="default" w:ascii="Times New Roman" w:hAnsi="Times New Roman" w:cs="Times New Roman"/>
                <w:szCs w:val="21"/>
              </w:rPr>
            </w:pPr>
          </w:p>
        </w:tc>
        <w:tc>
          <w:tcPr>
            <w:tcW w:w="214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熔点（℃）： -6</w:t>
            </w:r>
          </w:p>
        </w:tc>
        <w:tc>
          <w:tcPr>
            <w:tcW w:w="222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沸点（℃）：102.2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3" w:type="pct"/>
            <w:vMerge w:val="continue"/>
            <w:noWrap w:val="0"/>
            <w:vAlign w:val="center"/>
          </w:tcPr>
          <w:p>
            <w:pPr>
              <w:jc w:val="center"/>
              <w:rPr>
                <w:rFonts w:hint="default" w:ascii="Times New Roman" w:hAnsi="Times New Roman" w:cs="Times New Roman"/>
                <w:szCs w:val="21"/>
              </w:rPr>
            </w:pPr>
          </w:p>
        </w:tc>
        <w:tc>
          <w:tcPr>
            <w:tcW w:w="214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相对密度（水＝1）：1.25</w:t>
            </w:r>
          </w:p>
        </w:tc>
        <w:tc>
          <w:tcPr>
            <w:tcW w:w="222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相对密度（空气＝1）：/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33" w:type="pct"/>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危</w:t>
            </w:r>
          </w:p>
          <w:p>
            <w:pPr>
              <w:jc w:val="center"/>
              <w:rPr>
                <w:rFonts w:hint="default" w:ascii="Times New Roman" w:hAnsi="Times New Roman" w:cs="Times New Roman"/>
                <w:szCs w:val="21"/>
              </w:rPr>
            </w:pPr>
            <w:r>
              <w:rPr>
                <w:rFonts w:hint="default" w:ascii="Times New Roman" w:hAnsi="Times New Roman" w:cs="Times New Roman"/>
                <w:szCs w:val="21"/>
              </w:rPr>
              <w:t>险</w:t>
            </w:r>
          </w:p>
          <w:p>
            <w:pPr>
              <w:jc w:val="center"/>
              <w:rPr>
                <w:rFonts w:hint="default" w:ascii="Times New Roman" w:hAnsi="Times New Roman" w:cs="Times New Roman"/>
                <w:szCs w:val="21"/>
              </w:rPr>
            </w:pPr>
            <w:r>
              <w:rPr>
                <w:rFonts w:hint="default" w:ascii="Times New Roman" w:hAnsi="Times New Roman" w:cs="Times New Roman"/>
                <w:szCs w:val="21"/>
              </w:rPr>
              <w:t>特</w:t>
            </w:r>
          </w:p>
          <w:p>
            <w:pPr>
              <w:jc w:val="center"/>
              <w:rPr>
                <w:rFonts w:hint="default" w:ascii="Times New Roman" w:hAnsi="Times New Roman" w:cs="Times New Roman"/>
                <w:szCs w:val="21"/>
              </w:rPr>
            </w:pPr>
            <w:r>
              <w:rPr>
                <w:rFonts w:hint="default" w:ascii="Times New Roman" w:hAnsi="Times New Roman" w:cs="Times New Roman"/>
                <w:szCs w:val="21"/>
              </w:rPr>
              <w:t>性</w:t>
            </w:r>
          </w:p>
        </w:tc>
        <w:tc>
          <w:tcPr>
            <w:tcW w:w="214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危险性类别：</w:t>
            </w:r>
          </w:p>
        </w:tc>
        <w:tc>
          <w:tcPr>
            <w:tcW w:w="222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燃烧性：不燃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3" w:type="pct"/>
            <w:vMerge w:val="continue"/>
            <w:noWrap w:val="0"/>
            <w:vAlign w:val="center"/>
          </w:tcPr>
          <w:p>
            <w:pPr>
              <w:jc w:val="center"/>
              <w:rPr>
                <w:rFonts w:hint="default" w:ascii="Times New Roman" w:hAnsi="Times New Roman" w:cs="Times New Roman"/>
                <w:szCs w:val="21"/>
              </w:rPr>
            </w:pPr>
          </w:p>
        </w:tc>
        <w:tc>
          <w:tcPr>
            <w:tcW w:w="214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燃烧热（KJ/mol）： /</w:t>
            </w:r>
          </w:p>
        </w:tc>
        <w:tc>
          <w:tcPr>
            <w:tcW w:w="222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燃烧分解产物：氯化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3" w:type="pct"/>
            <w:vMerge w:val="continue"/>
            <w:noWrap w:val="0"/>
            <w:vAlign w:val="center"/>
          </w:tcPr>
          <w:p>
            <w:pPr>
              <w:jc w:val="center"/>
              <w:rPr>
                <w:rFonts w:hint="default" w:ascii="Times New Roman" w:hAnsi="Times New Roman" w:cs="Times New Roman"/>
                <w:szCs w:val="21"/>
              </w:rPr>
            </w:pPr>
          </w:p>
        </w:tc>
        <w:tc>
          <w:tcPr>
            <w:tcW w:w="4366" w:type="pct"/>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危险特性：本品不燃，具腐蚀性，可致人体灼伤，具致敏性。受高热分解产生有毒的腐蚀性烟气。具有腐蚀性。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3" w:type="pct"/>
            <w:vMerge w:val="continue"/>
            <w:noWrap w:val="0"/>
            <w:vAlign w:val="center"/>
          </w:tcPr>
          <w:p>
            <w:pPr>
              <w:jc w:val="center"/>
              <w:rPr>
                <w:rFonts w:hint="default" w:ascii="Times New Roman" w:hAnsi="Times New Roman" w:cs="Times New Roman"/>
                <w:szCs w:val="21"/>
              </w:rPr>
            </w:pPr>
          </w:p>
        </w:tc>
        <w:tc>
          <w:tcPr>
            <w:tcW w:w="4366" w:type="pct"/>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灭火剂：采用雾状水、二氧化碳、砂土灭火。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毒性</w:t>
            </w:r>
          </w:p>
        </w:tc>
        <w:tc>
          <w:tcPr>
            <w:tcW w:w="4366" w:type="pct"/>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 xml:space="preserve">LD50：8500 mg/kg(小鼠经口) </w:t>
            </w:r>
          </w:p>
          <w:p>
            <w:pPr>
              <w:jc w:val="center"/>
              <w:rPr>
                <w:rFonts w:hint="default" w:ascii="Times New Roman" w:hAnsi="Times New Roman" w:cs="Times New Roman"/>
                <w:szCs w:val="21"/>
              </w:rPr>
            </w:pPr>
            <w:r>
              <w:rPr>
                <w:rFonts w:hint="default" w:ascii="Times New Roman" w:hAnsi="Times New Roman" w:cs="Times New Roman"/>
                <w:szCs w:val="21"/>
              </w:rPr>
              <w:t>LC50：无资料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危害</w:t>
            </w:r>
          </w:p>
        </w:tc>
        <w:tc>
          <w:tcPr>
            <w:tcW w:w="4366" w:type="pct"/>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经常用手接触本品的工人，手掌大量出汗，指甲变薄，毛发脱落。本品有致敏作用。本品放出的游离氯有可能引起中毒。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急救</w:t>
            </w:r>
          </w:p>
        </w:tc>
        <w:tc>
          <w:tcPr>
            <w:tcW w:w="4366" w:type="pct"/>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吸入：如果吸入，请将患者移到新鲜空气处。</w:t>
            </w:r>
          </w:p>
          <w:p>
            <w:pPr>
              <w:jc w:val="center"/>
              <w:rPr>
                <w:rFonts w:hint="default" w:ascii="Times New Roman" w:hAnsi="Times New Roman" w:cs="Times New Roman"/>
                <w:szCs w:val="21"/>
              </w:rPr>
            </w:pPr>
            <w:r>
              <w:rPr>
                <w:rFonts w:hint="default" w:ascii="Times New Roman" w:hAnsi="Times New Roman" w:cs="Times New Roman"/>
                <w:szCs w:val="21"/>
              </w:rPr>
              <w:t>皮肤接触：脱去污染的衣着，用肥皂水和清水彻底冲洗皮肤。如有不适感，就医。</w:t>
            </w:r>
          </w:p>
          <w:p>
            <w:pPr>
              <w:jc w:val="center"/>
              <w:rPr>
                <w:rFonts w:hint="default" w:ascii="Times New Roman" w:hAnsi="Times New Roman" w:cs="Times New Roman"/>
                <w:szCs w:val="21"/>
              </w:rPr>
            </w:pPr>
            <w:r>
              <w:rPr>
                <w:rFonts w:hint="default" w:ascii="Times New Roman" w:hAnsi="Times New Roman" w:cs="Times New Roman"/>
                <w:szCs w:val="21"/>
              </w:rPr>
              <w:t>眼晴接触：分开眼睑，用流动清水或生理盐水冲洗。立即就医。</w:t>
            </w:r>
          </w:p>
          <w:p>
            <w:pPr>
              <w:jc w:val="center"/>
              <w:rPr>
                <w:rFonts w:hint="default" w:ascii="Times New Roman" w:hAnsi="Times New Roman" w:cs="Times New Roman"/>
                <w:szCs w:val="21"/>
              </w:rPr>
            </w:pPr>
            <w:r>
              <w:rPr>
                <w:rFonts w:hint="default" w:ascii="Times New Roman" w:hAnsi="Times New Roman" w:cs="Times New Roman"/>
                <w:szCs w:val="21"/>
              </w:rPr>
              <w:t>食入：漱口，禁止催吐。立即就医。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防护</w:t>
            </w:r>
          </w:p>
        </w:tc>
        <w:tc>
          <w:tcPr>
            <w:tcW w:w="4366" w:type="pct"/>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工程防护：生产过程密闭，全面通风。提供安全淋浴和洗眼设备。</w:t>
            </w:r>
          </w:p>
          <w:p>
            <w:pPr>
              <w:jc w:val="center"/>
              <w:rPr>
                <w:rFonts w:hint="default" w:ascii="Times New Roman" w:hAnsi="Times New Roman" w:cs="Times New Roman"/>
                <w:szCs w:val="21"/>
              </w:rPr>
            </w:pPr>
            <w:r>
              <w:rPr>
                <w:rFonts w:hint="default" w:ascii="Times New Roman" w:hAnsi="Times New Roman" w:cs="Times New Roman"/>
                <w:szCs w:val="21"/>
              </w:rPr>
              <w:t>个人防护：高浓度环境中，应该佩戴直接式防毒面具（半面罩）。戴化学安全防护眼镜。穿防腐工作服。戴橡胶手套。工作现场禁止吸烟、进食和饮水。工作完毕，淋浴更衣。注意个人清洁卫生。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泄漏处理</w:t>
            </w:r>
          </w:p>
        </w:tc>
        <w:tc>
          <w:tcPr>
            <w:tcW w:w="4366" w:type="pct"/>
            <w:gridSpan w:val="2"/>
            <w:noWrap w:val="0"/>
            <w:vAlign w:val="center"/>
          </w:tcPr>
          <w:p>
            <w:pPr>
              <w:jc w:val="left"/>
              <w:rPr>
                <w:rFonts w:hint="default" w:ascii="Times New Roman" w:hAnsi="Times New Roman" w:cs="Times New Roman"/>
                <w:szCs w:val="21"/>
              </w:rPr>
            </w:pPr>
            <w:r>
              <w:rPr>
                <w:rFonts w:hint="default" w:ascii="Times New Roman" w:hAnsi="Times New Roman" w:cs="Times New Roman"/>
                <w:szCs w:val="21"/>
              </w:rPr>
              <w:t>小量泄漏：尽可能将泄漏液体收集在可密闭的容器中。用沙土、活性炭或其它惰性材料吸收，并转移至安全场所。禁止冲入下水道。</w:t>
            </w:r>
          </w:p>
          <w:p>
            <w:pPr>
              <w:jc w:val="left"/>
              <w:rPr>
                <w:rFonts w:hint="default" w:ascii="Times New Roman" w:hAnsi="Times New Roman" w:cs="Times New Roman"/>
                <w:szCs w:val="21"/>
              </w:rPr>
            </w:pPr>
            <w:r>
              <w:rPr>
                <w:rFonts w:hint="default" w:ascii="Times New Roman" w:hAnsi="Times New Roman" w:cs="Times New Roman"/>
                <w:szCs w:val="21"/>
              </w:rPr>
              <w:t>大量泄漏：构筑围堤或挖坑收容。封闭排水管道。用泡沫覆盖，抑制蒸发。用防爆泵转移至槽车或专用收集器内，回收或运至废物处理场所处置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3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储运</w:t>
            </w:r>
          </w:p>
        </w:tc>
        <w:tc>
          <w:tcPr>
            <w:tcW w:w="4366" w:type="pct"/>
            <w:gridSpan w:val="2"/>
            <w:noWrap w:val="0"/>
            <w:vAlign w:val="center"/>
          </w:tcPr>
          <w:p>
            <w:pPr>
              <w:jc w:val="left"/>
              <w:rPr>
                <w:rFonts w:hint="default" w:ascii="Times New Roman" w:hAnsi="Times New Roman" w:cs="Times New Roman"/>
                <w:szCs w:val="21"/>
              </w:rPr>
            </w:pPr>
            <w:r>
              <w:rPr>
                <w:rFonts w:hint="default" w:ascii="Times New Roman" w:hAnsi="Times New Roman" w:cs="Times New Roman"/>
                <w:szCs w:val="21"/>
              </w:rPr>
              <w:t>包装标志： UN 编号： 1791 包装分类： Ⅲ</w:t>
            </w:r>
          </w:p>
          <w:p>
            <w:pPr>
              <w:jc w:val="center"/>
              <w:rPr>
                <w:rFonts w:hint="default" w:ascii="Times New Roman" w:hAnsi="Times New Roman" w:cs="Times New Roman"/>
                <w:szCs w:val="21"/>
              </w:rPr>
            </w:pPr>
            <w:r>
              <w:rPr>
                <w:rFonts w:hint="default" w:ascii="Times New Roman" w:hAnsi="Times New Roman" w:cs="Times New Roman"/>
                <w:szCs w:val="21"/>
              </w:rPr>
              <w:t>储运条件：储存于阴凉、通风的库房。远离火种、热源。库温不宜超过30℃。应与碱类分开存放，切忌混储。储区应备有泄漏应急处理设备和合适的收容材料。起运时包装要完整，装载应稳妥。运输过程中要确保容器不泄漏、不倒塌、不坠落、不损坏。严禁与碱类、食用化学品等混装混运。运输时运输车辆应配备泄漏应急处理设备。运输途中应防曝晒、雨淋，防高温。公路运输时要按规定路线行驶，勿在居民区和人口稠密区停留。</w:t>
            </w:r>
          </w:p>
        </w:tc>
      </w:tr>
    </w:tbl>
    <w:p>
      <w:pPr>
        <w:pStyle w:val="6"/>
        <w:spacing w:before="0" w:after="0" w:line="360" w:lineRule="auto"/>
        <w:rPr>
          <w:rFonts w:hint="default" w:ascii="Times New Roman" w:hAnsi="Times New Roman" w:cs="Times New Roman"/>
          <w:kern w:val="0"/>
          <w:sz w:val="28"/>
        </w:rPr>
      </w:pPr>
      <w:bookmarkStart w:id="64" w:name="_Toc29275"/>
      <w:bookmarkStart w:id="65" w:name="_Toc21725"/>
      <w:r>
        <w:rPr>
          <w:rFonts w:hint="default" w:ascii="Times New Roman" w:hAnsi="Times New Roman" w:cs="Times New Roman"/>
          <w:kern w:val="0"/>
          <w:sz w:val="28"/>
        </w:rPr>
        <w:t>5.3.2环境敏感目标调查</w:t>
      </w:r>
      <w:bookmarkEnd w:id="64"/>
      <w:bookmarkEnd w:id="65"/>
    </w:p>
    <w:p>
      <w:pPr>
        <w:pStyle w:val="29"/>
        <w:adjustRightInd w:val="0"/>
        <w:ind w:firstLine="420"/>
        <w:rPr>
          <w:rFonts w:hint="default" w:ascii="Times New Roman" w:hAnsi="Times New Roman" w:cs="Times New Roman"/>
        </w:rPr>
      </w:pPr>
      <w:r>
        <w:rPr>
          <w:rFonts w:hint="default" w:ascii="Times New Roman" w:hAnsi="Times New Roman" w:cs="Times New Roman"/>
          <w:color w:val="000000"/>
        </w:rPr>
        <w:t>项目</w:t>
      </w:r>
      <w:r>
        <w:rPr>
          <w:rFonts w:hint="default" w:ascii="Times New Roman" w:hAnsi="Times New Roman" w:cs="Times New Roman"/>
        </w:rPr>
        <w:t>位于农村地区，周边5km范围内环境敏感目标分布情况见表5.3-2。</w:t>
      </w:r>
    </w:p>
    <w:p>
      <w:pPr>
        <w:pStyle w:val="29"/>
        <w:snapToGrid/>
        <w:spacing w:line="240" w:lineRule="auto"/>
        <w:ind w:firstLine="0"/>
        <w:jc w:val="center"/>
        <w:rPr>
          <w:rFonts w:hint="default" w:ascii="Times New Roman" w:hAnsi="Times New Roman" w:cs="Times New Roman"/>
          <w:b/>
          <w:sz w:val="21"/>
          <w:szCs w:val="21"/>
        </w:rPr>
      </w:pPr>
      <w:r>
        <w:rPr>
          <w:rFonts w:hint="default" w:ascii="Times New Roman" w:hAnsi="Times New Roman" w:cs="Times New Roman"/>
          <w:b/>
          <w:sz w:val="21"/>
          <w:szCs w:val="21"/>
        </w:rPr>
        <w:t>表5.3-2   建设项目环境敏感特征表</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673"/>
        <w:gridCol w:w="638"/>
        <w:gridCol w:w="146"/>
        <w:gridCol w:w="264"/>
        <w:gridCol w:w="1231"/>
        <w:gridCol w:w="126"/>
        <w:gridCol w:w="696"/>
        <w:gridCol w:w="404"/>
        <w:gridCol w:w="267"/>
        <w:gridCol w:w="771"/>
        <w:gridCol w:w="181"/>
        <w:gridCol w:w="709"/>
        <w:gridCol w:w="550"/>
        <w:gridCol w:w="262"/>
        <w:gridCol w:w="138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c>
          <w:tcPr>
            <w:tcW w:w="405" w:type="pct"/>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类别</w:t>
            </w:r>
          </w:p>
        </w:tc>
        <w:tc>
          <w:tcPr>
            <w:tcW w:w="4594" w:type="pct"/>
            <w:gridSpan w:val="14"/>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环境敏感特征</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c>
          <w:tcPr>
            <w:tcW w:w="405" w:type="pct"/>
            <w:vMerge w:val="restart"/>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环境空气</w:t>
            </w:r>
          </w:p>
        </w:tc>
        <w:tc>
          <w:tcPr>
            <w:tcW w:w="4594" w:type="pct"/>
            <w:gridSpan w:val="14"/>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厂址周边5km范围内</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c>
          <w:tcPr>
            <w:tcW w:w="405" w:type="pct"/>
            <w:vMerge w:val="continue"/>
            <w:noWrap w:val="0"/>
            <w:vAlign w:val="center"/>
          </w:tcPr>
          <w:p>
            <w:pPr>
              <w:widowControl/>
              <w:snapToGrid w:val="0"/>
              <w:jc w:val="center"/>
              <w:rPr>
                <w:rFonts w:hint="default" w:ascii="Times New Roman" w:hAnsi="Times New Roman" w:cs="Times New Roman"/>
                <w:szCs w:val="21"/>
              </w:rPr>
            </w:pPr>
          </w:p>
        </w:tc>
        <w:tc>
          <w:tcPr>
            <w:tcW w:w="384" w:type="pct"/>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序号</w:t>
            </w:r>
          </w:p>
        </w:tc>
        <w:tc>
          <w:tcPr>
            <w:tcW w:w="1064" w:type="pct"/>
            <w:gridSpan w:val="4"/>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敏感目标名称</w:t>
            </w:r>
          </w:p>
        </w:tc>
        <w:tc>
          <w:tcPr>
            <w:tcW w:w="662" w:type="pct"/>
            <w:gridSpan w:val="2"/>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相对方位</w:t>
            </w:r>
          </w:p>
        </w:tc>
        <w:tc>
          <w:tcPr>
            <w:tcW w:w="625" w:type="pct"/>
            <w:gridSpan w:val="2"/>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距离/km</w:t>
            </w:r>
          </w:p>
        </w:tc>
        <w:tc>
          <w:tcPr>
            <w:tcW w:w="867" w:type="pct"/>
            <w:gridSpan w:val="3"/>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属性</w:t>
            </w:r>
          </w:p>
        </w:tc>
        <w:tc>
          <w:tcPr>
            <w:tcW w:w="991" w:type="pct"/>
            <w:gridSpan w:val="2"/>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人口数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c>
          <w:tcPr>
            <w:tcW w:w="405" w:type="pct"/>
            <w:vMerge w:val="continue"/>
            <w:noWrap w:val="0"/>
            <w:vAlign w:val="center"/>
          </w:tcPr>
          <w:p>
            <w:pPr>
              <w:widowControl/>
              <w:snapToGrid w:val="0"/>
              <w:jc w:val="center"/>
              <w:rPr>
                <w:rFonts w:hint="default" w:ascii="Times New Roman" w:hAnsi="Times New Roman" w:cs="Times New Roman"/>
                <w:szCs w:val="21"/>
              </w:rPr>
            </w:pPr>
          </w:p>
        </w:tc>
        <w:tc>
          <w:tcPr>
            <w:tcW w:w="384" w:type="pct"/>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1</w:t>
            </w:r>
          </w:p>
        </w:tc>
        <w:tc>
          <w:tcPr>
            <w:tcW w:w="1064" w:type="pct"/>
            <w:gridSpan w:val="4"/>
            <w:noWrap w:val="0"/>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伊尔施</w:t>
            </w:r>
            <w:r>
              <w:rPr>
                <w:rFonts w:hint="default" w:ascii="Times New Roman" w:hAnsi="Times New Roman" w:cs="Times New Roman"/>
                <w:szCs w:val="21"/>
              </w:rPr>
              <w:t>镇</w:t>
            </w:r>
          </w:p>
        </w:tc>
        <w:tc>
          <w:tcPr>
            <w:tcW w:w="662" w:type="pct"/>
            <w:gridSpan w:val="2"/>
            <w:noWrap w:val="0"/>
            <w:vAlign w:val="top"/>
          </w:tcPr>
          <w:p>
            <w:pPr>
              <w:widowControl/>
              <w:autoSpaceDE w:val="0"/>
              <w:autoSpaceDN w:val="0"/>
              <w:adjustRightInd w:val="0"/>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bidi="ar"/>
              </w:rPr>
              <w:t>N</w:t>
            </w:r>
          </w:p>
        </w:tc>
        <w:tc>
          <w:tcPr>
            <w:tcW w:w="625" w:type="pct"/>
            <w:gridSpan w:val="2"/>
            <w:noWrap w:val="0"/>
            <w:vAlign w:val="top"/>
          </w:tcPr>
          <w:p>
            <w:pPr>
              <w:widowControl/>
              <w:autoSpaceDE w:val="0"/>
              <w:autoSpaceDN w:val="0"/>
              <w:adjustRightInd w:val="0"/>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4.1</w:t>
            </w:r>
          </w:p>
        </w:tc>
        <w:tc>
          <w:tcPr>
            <w:tcW w:w="867" w:type="pct"/>
            <w:gridSpan w:val="3"/>
            <w:noWrap w:val="0"/>
            <w:vAlign w:val="center"/>
          </w:tcPr>
          <w:p>
            <w:pPr>
              <w:widowControl/>
              <w:spacing w:line="240" w:lineRule="atLeast"/>
              <w:jc w:val="center"/>
              <w:rPr>
                <w:rFonts w:hint="default" w:ascii="Times New Roman" w:hAnsi="Times New Roman" w:cs="Times New Roman"/>
                <w:szCs w:val="21"/>
              </w:rPr>
            </w:pPr>
            <w:r>
              <w:rPr>
                <w:rFonts w:hint="eastAsia" w:ascii="Times New Roman" w:hAnsi="Times New Roman" w:cs="Times New Roman"/>
                <w:szCs w:val="21"/>
                <w:lang w:val="en-US" w:eastAsia="zh-CN" w:bidi="ar"/>
              </w:rPr>
              <w:t>居住</w:t>
            </w:r>
            <w:r>
              <w:rPr>
                <w:rFonts w:hint="default" w:ascii="Times New Roman" w:hAnsi="Times New Roman" w:cs="Times New Roman"/>
                <w:szCs w:val="21"/>
                <w:lang w:bidi="ar"/>
              </w:rPr>
              <w:t>区</w:t>
            </w:r>
          </w:p>
        </w:tc>
        <w:tc>
          <w:tcPr>
            <w:tcW w:w="991" w:type="pct"/>
            <w:gridSpan w:val="2"/>
            <w:noWrap w:val="0"/>
            <w:vAlign w:val="center"/>
          </w:tcPr>
          <w:p>
            <w:pPr>
              <w:widowControl/>
              <w:autoSpaceDE w:val="0"/>
              <w:autoSpaceDN w:val="0"/>
              <w:adjustRightInd w:val="0"/>
              <w:snapToGrid w:val="0"/>
              <w:spacing w:line="240" w:lineRule="atLeast"/>
              <w:jc w:val="center"/>
              <w:rPr>
                <w:rFonts w:hint="default" w:ascii="Times New Roman" w:hAnsi="Times New Roman" w:cs="Times New Roman"/>
                <w:szCs w:val="21"/>
              </w:rPr>
            </w:pPr>
            <w:r>
              <w:rPr>
                <w:rFonts w:hint="eastAsia" w:ascii="Times New Roman" w:hAnsi="Times New Roman" w:cs="Times New Roman"/>
                <w:szCs w:val="21"/>
                <w:lang w:val="en-US" w:eastAsia="zh-CN"/>
              </w:rPr>
              <w:t>0.7万</w:t>
            </w:r>
            <w:r>
              <w:rPr>
                <w:rFonts w:hint="default" w:ascii="Times New Roman" w:hAnsi="Times New Roman" w:cs="Times New Roman"/>
                <w:szCs w:val="21"/>
              </w:rPr>
              <w:t>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c>
          <w:tcPr>
            <w:tcW w:w="405" w:type="pct"/>
            <w:vMerge w:val="continue"/>
            <w:noWrap w:val="0"/>
            <w:vAlign w:val="center"/>
          </w:tcPr>
          <w:p>
            <w:pPr>
              <w:widowControl/>
              <w:snapToGrid w:val="0"/>
              <w:jc w:val="center"/>
              <w:rPr>
                <w:rFonts w:hint="default" w:ascii="Times New Roman" w:hAnsi="Times New Roman" w:cs="Times New Roman"/>
                <w:szCs w:val="21"/>
              </w:rPr>
            </w:pPr>
          </w:p>
        </w:tc>
        <w:tc>
          <w:tcPr>
            <w:tcW w:w="384" w:type="pct"/>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1064" w:type="pct"/>
            <w:gridSpan w:val="4"/>
            <w:noWrap w:val="0"/>
            <w:vAlign w:val="center"/>
          </w:tcPr>
          <w:p>
            <w:pPr>
              <w:adjustRightInd w:val="0"/>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羊包</w:t>
            </w:r>
          </w:p>
        </w:tc>
        <w:tc>
          <w:tcPr>
            <w:tcW w:w="662" w:type="pct"/>
            <w:gridSpan w:val="2"/>
            <w:noWrap w:val="0"/>
            <w:vAlign w:val="top"/>
          </w:tcPr>
          <w:p>
            <w:pPr>
              <w:widowControl/>
              <w:autoSpaceDE w:val="0"/>
              <w:autoSpaceDN w:val="0"/>
              <w:adjustRightInd w:val="0"/>
              <w:snapToGrid w:val="0"/>
              <w:spacing w:line="240" w:lineRule="atLeast"/>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W</w:t>
            </w:r>
          </w:p>
        </w:tc>
        <w:tc>
          <w:tcPr>
            <w:tcW w:w="625" w:type="pct"/>
            <w:gridSpan w:val="2"/>
            <w:noWrap w:val="0"/>
            <w:vAlign w:val="top"/>
          </w:tcPr>
          <w:p>
            <w:pPr>
              <w:widowControl/>
              <w:autoSpaceDE w:val="0"/>
              <w:autoSpaceDN w:val="0"/>
              <w:adjustRightInd w:val="0"/>
              <w:snapToGrid w:val="0"/>
              <w:spacing w:line="240" w:lineRule="atLeast"/>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0.3</w:t>
            </w:r>
          </w:p>
        </w:tc>
        <w:tc>
          <w:tcPr>
            <w:tcW w:w="867" w:type="pct"/>
            <w:gridSpan w:val="3"/>
            <w:noWrap w:val="0"/>
            <w:vAlign w:val="center"/>
          </w:tcPr>
          <w:p>
            <w:pPr>
              <w:widowControl/>
              <w:spacing w:line="240" w:lineRule="atLeast"/>
              <w:jc w:val="center"/>
              <w:rPr>
                <w:rFonts w:hint="eastAsia" w:ascii="Times New Roman" w:hAnsi="Times New Roman" w:cs="Times New Roman" w:eastAsiaTheme="minorEastAsia"/>
                <w:szCs w:val="21"/>
                <w:lang w:eastAsia="zh-CN"/>
              </w:rPr>
            </w:pPr>
            <w:r>
              <w:rPr>
                <w:rFonts w:hint="default" w:ascii="Times New Roman" w:hAnsi="Times New Roman" w:cs="Times New Roman"/>
                <w:szCs w:val="21"/>
                <w:lang w:bidi="ar"/>
              </w:rPr>
              <w:t>居住</w:t>
            </w:r>
            <w:r>
              <w:rPr>
                <w:rFonts w:hint="eastAsia" w:ascii="Times New Roman" w:hAnsi="Times New Roman" w:cs="Times New Roman"/>
                <w:szCs w:val="21"/>
                <w:lang w:val="en-US" w:eastAsia="zh-CN" w:bidi="ar"/>
              </w:rPr>
              <w:t>点</w:t>
            </w:r>
          </w:p>
        </w:tc>
        <w:tc>
          <w:tcPr>
            <w:tcW w:w="991" w:type="pct"/>
            <w:gridSpan w:val="2"/>
            <w:noWrap w:val="0"/>
            <w:vAlign w:val="center"/>
          </w:tcPr>
          <w:p>
            <w:pPr>
              <w:widowControl/>
              <w:autoSpaceDE w:val="0"/>
              <w:autoSpaceDN w:val="0"/>
              <w:adjustRightInd w:val="0"/>
              <w:snapToGrid w:val="0"/>
              <w:spacing w:line="240" w:lineRule="atLeast"/>
              <w:jc w:val="center"/>
              <w:rPr>
                <w:rFonts w:hint="default" w:ascii="Times New Roman" w:hAnsi="Times New Roman" w:cs="Times New Roman"/>
                <w:szCs w:val="21"/>
              </w:rPr>
            </w:pPr>
            <w:r>
              <w:rPr>
                <w:rFonts w:hint="default" w:ascii="Times New Roman" w:hAnsi="Times New Roman" w:cs="Times New Roman"/>
                <w:szCs w:val="21"/>
              </w:rPr>
              <w:t>1人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c>
          <w:tcPr>
            <w:tcW w:w="405" w:type="pct"/>
            <w:vMerge w:val="continue"/>
            <w:noWrap w:val="0"/>
            <w:vAlign w:val="center"/>
          </w:tcPr>
          <w:p>
            <w:pPr>
              <w:widowControl/>
              <w:snapToGrid w:val="0"/>
              <w:jc w:val="center"/>
              <w:rPr>
                <w:rFonts w:hint="default" w:ascii="Times New Roman" w:hAnsi="Times New Roman" w:cs="Times New Roman"/>
                <w:szCs w:val="21"/>
              </w:rPr>
            </w:pPr>
          </w:p>
        </w:tc>
        <w:tc>
          <w:tcPr>
            <w:tcW w:w="3602" w:type="pct"/>
            <w:gridSpan w:val="12"/>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厂址周边500m范围内人口数小计</w:t>
            </w:r>
          </w:p>
        </w:tc>
        <w:tc>
          <w:tcPr>
            <w:tcW w:w="991" w:type="pct"/>
            <w:gridSpan w:val="2"/>
            <w:noWrap w:val="0"/>
            <w:vAlign w:val="center"/>
          </w:tcPr>
          <w:p>
            <w:pPr>
              <w:widowControl/>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21</w:t>
            </w:r>
            <w:r>
              <w:rPr>
                <w:rFonts w:hint="default" w:ascii="Times New Roman" w:hAnsi="Times New Roman" w:cs="Times New Roman"/>
                <w:szCs w:val="21"/>
              </w:rPr>
              <w:t>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c>
          <w:tcPr>
            <w:tcW w:w="405" w:type="pct"/>
            <w:vMerge w:val="continue"/>
            <w:noWrap w:val="0"/>
            <w:vAlign w:val="center"/>
          </w:tcPr>
          <w:p>
            <w:pPr>
              <w:widowControl/>
              <w:snapToGrid w:val="0"/>
              <w:jc w:val="center"/>
              <w:rPr>
                <w:rFonts w:hint="default" w:ascii="Times New Roman" w:hAnsi="Times New Roman" w:cs="Times New Roman"/>
                <w:szCs w:val="21"/>
              </w:rPr>
            </w:pPr>
          </w:p>
        </w:tc>
        <w:tc>
          <w:tcPr>
            <w:tcW w:w="3602" w:type="pct"/>
            <w:gridSpan w:val="12"/>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厂址周边5km范围内人口数小计</w:t>
            </w:r>
          </w:p>
        </w:tc>
        <w:tc>
          <w:tcPr>
            <w:tcW w:w="991" w:type="pct"/>
            <w:gridSpan w:val="2"/>
            <w:noWrap w:val="0"/>
            <w:vAlign w:val="center"/>
          </w:tcPr>
          <w:p>
            <w:pPr>
              <w:widowControl/>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0.7万</w:t>
            </w:r>
            <w:r>
              <w:rPr>
                <w:rFonts w:hint="default" w:ascii="Times New Roman" w:hAnsi="Times New Roman" w:cs="Times New Roman"/>
                <w:szCs w:val="21"/>
              </w:rPr>
              <w:t>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c>
          <w:tcPr>
            <w:tcW w:w="405" w:type="pct"/>
            <w:vMerge w:val="continue"/>
            <w:noWrap w:val="0"/>
            <w:vAlign w:val="center"/>
          </w:tcPr>
          <w:p>
            <w:pPr>
              <w:widowControl/>
              <w:snapToGrid w:val="0"/>
              <w:jc w:val="center"/>
              <w:rPr>
                <w:rFonts w:hint="default" w:ascii="Times New Roman" w:hAnsi="Times New Roman" w:cs="Times New Roman"/>
                <w:szCs w:val="21"/>
              </w:rPr>
            </w:pPr>
          </w:p>
        </w:tc>
        <w:tc>
          <w:tcPr>
            <w:tcW w:w="3602" w:type="pct"/>
            <w:gridSpan w:val="12"/>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大气环境敏感程度E值</w:t>
            </w:r>
          </w:p>
        </w:tc>
        <w:tc>
          <w:tcPr>
            <w:tcW w:w="991" w:type="pct"/>
            <w:gridSpan w:val="2"/>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E3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c>
          <w:tcPr>
            <w:tcW w:w="405" w:type="pct"/>
            <w:vMerge w:val="restart"/>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地表水</w:t>
            </w:r>
          </w:p>
        </w:tc>
        <w:tc>
          <w:tcPr>
            <w:tcW w:w="4594" w:type="pct"/>
            <w:gridSpan w:val="14"/>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受纳水体</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c>
          <w:tcPr>
            <w:tcW w:w="405" w:type="pct"/>
            <w:vMerge w:val="continue"/>
            <w:noWrap w:val="0"/>
            <w:vAlign w:val="center"/>
          </w:tcPr>
          <w:p>
            <w:pPr>
              <w:widowControl/>
              <w:snapToGrid w:val="0"/>
              <w:jc w:val="center"/>
              <w:rPr>
                <w:rFonts w:hint="default" w:ascii="Times New Roman" w:hAnsi="Times New Roman" w:cs="Times New Roman"/>
                <w:szCs w:val="21"/>
              </w:rPr>
            </w:pPr>
          </w:p>
        </w:tc>
        <w:tc>
          <w:tcPr>
            <w:tcW w:w="631" w:type="pct"/>
            <w:gridSpan w:val="3"/>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序号</w:t>
            </w:r>
          </w:p>
        </w:tc>
        <w:tc>
          <w:tcPr>
            <w:tcW w:w="1236" w:type="pct"/>
            <w:gridSpan w:val="3"/>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受纳水体名称</w:t>
            </w:r>
          </w:p>
        </w:tc>
        <w:tc>
          <w:tcPr>
            <w:tcW w:w="1404" w:type="pct"/>
            <w:gridSpan w:val="5"/>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排放点水域环境功能</w:t>
            </w:r>
          </w:p>
        </w:tc>
        <w:tc>
          <w:tcPr>
            <w:tcW w:w="1323" w:type="pct"/>
            <w:gridSpan w:val="3"/>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24h内流经范围/km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c>
          <w:tcPr>
            <w:tcW w:w="405" w:type="pct"/>
            <w:vMerge w:val="continue"/>
            <w:noWrap w:val="0"/>
            <w:vAlign w:val="center"/>
          </w:tcPr>
          <w:p>
            <w:pPr>
              <w:widowControl/>
              <w:snapToGrid w:val="0"/>
              <w:jc w:val="center"/>
              <w:rPr>
                <w:rFonts w:hint="default" w:ascii="Times New Roman" w:hAnsi="Times New Roman" w:cs="Times New Roman"/>
                <w:szCs w:val="21"/>
              </w:rPr>
            </w:pPr>
          </w:p>
        </w:tc>
        <w:tc>
          <w:tcPr>
            <w:tcW w:w="631" w:type="pct"/>
            <w:gridSpan w:val="3"/>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1236" w:type="pct"/>
            <w:gridSpan w:val="3"/>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1404" w:type="pct"/>
            <w:gridSpan w:val="5"/>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1323" w:type="pct"/>
            <w:gridSpan w:val="3"/>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c>
          <w:tcPr>
            <w:tcW w:w="405" w:type="pct"/>
            <w:vMerge w:val="continue"/>
            <w:noWrap w:val="0"/>
            <w:vAlign w:val="center"/>
          </w:tcPr>
          <w:p>
            <w:pPr>
              <w:widowControl/>
              <w:snapToGrid w:val="0"/>
              <w:jc w:val="center"/>
              <w:rPr>
                <w:rFonts w:hint="default" w:ascii="Times New Roman" w:hAnsi="Times New Roman" w:cs="Times New Roman"/>
                <w:szCs w:val="21"/>
              </w:rPr>
            </w:pPr>
          </w:p>
        </w:tc>
        <w:tc>
          <w:tcPr>
            <w:tcW w:w="3271" w:type="pct"/>
            <w:gridSpan w:val="11"/>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地表水环境敏感程度E值</w:t>
            </w:r>
          </w:p>
        </w:tc>
        <w:tc>
          <w:tcPr>
            <w:tcW w:w="1323" w:type="pct"/>
            <w:gridSpan w:val="3"/>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E3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80" w:hRule="atLeast"/>
        </w:trPr>
        <w:tc>
          <w:tcPr>
            <w:tcW w:w="405" w:type="pct"/>
            <w:vMerge w:val="restart"/>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地下水</w:t>
            </w:r>
          </w:p>
        </w:tc>
        <w:tc>
          <w:tcPr>
            <w:tcW w:w="472" w:type="pct"/>
            <w:gridSpan w:val="2"/>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序号</w:t>
            </w:r>
          </w:p>
        </w:tc>
        <w:tc>
          <w:tcPr>
            <w:tcW w:w="900" w:type="pct"/>
            <w:gridSpan w:val="2"/>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环境敏感区名称</w:t>
            </w:r>
          </w:p>
        </w:tc>
        <w:tc>
          <w:tcPr>
            <w:tcW w:w="899" w:type="pct"/>
            <w:gridSpan w:val="4"/>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环境敏感区特征</w:t>
            </w:r>
          </w:p>
        </w:tc>
        <w:tc>
          <w:tcPr>
            <w:tcW w:w="573" w:type="pct"/>
            <w:gridSpan w:val="2"/>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水质目标</w:t>
            </w:r>
          </w:p>
        </w:tc>
        <w:tc>
          <w:tcPr>
            <w:tcW w:w="915" w:type="pct"/>
            <w:gridSpan w:val="3"/>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包气带防污性能</w:t>
            </w:r>
          </w:p>
        </w:tc>
        <w:tc>
          <w:tcPr>
            <w:tcW w:w="834" w:type="pct"/>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与下游厂界</w:t>
            </w:r>
          </w:p>
          <w:p>
            <w:pPr>
              <w:snapToGrid w:val="0"/>
              <w:jc w:val="center"/>
              <w:rPr>
                <w:rFonts w:hint="default" w:ascii="Times New Roman" w:hAnsi="Times New Roman" w:cs="Times New Roman"/>
                <w:szCs w:val="21"/>
              </w:rPr>
            </w:pPr>
            <w:r>
              <w:rPr>
                <w:rFonts w:hint="default" w:ascii="Times New Roman" w:hAnsi="Times New Roman" w:cs="Times New Roman"/>
                <w:szCs w:val="21"/>
              </w:rPr>
              <w:t>距离/m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80" w:hRule="atLeast"/>
        </w:trPr>
        <w:tc>
          <w:tcPr>
            <w:tcW w:w="405" w:type="pct"/>
            <w:vMerge w:val="continue"/>
            <w:noWrap w:val="0"/>
            <w:vAlign w:val="center"/>
          </w:tcPr>
          <w:p>
            <w:pPr>
              <w:widowControl/>
              <w:snapToGrid w:val="0"/>
              <w:jc w:val="center"/>
              <w:rPr>
                <w:rFonts w:hint="default" w:ascii="Times New Roman" w:hAnsi="Times New Roman" w:cs="Times New Roman"/>
                <w:szCs w:val="21"/>
              </w:rPr>
            </w:pPr>
          </w:p>
        </w:tc>
        <w:tc>
          <w:tcPr>
            <w:tcW w:w="472" w:type="pct"/>
            <w:gridSpan w:val="2"/>
            <w:noWrap w:val="0"/>
            <w:vAlign w:val="center"/>
          </w:tcPr>
          <w:p>
            <w:pPr>
              <w:pStyle w:val="50"/>
              <w:spacing w:line="240" w:lineRule="auto"/>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00" w:type="pct"/>
            <w:gridSpan w:val="2"/>
            <w:noWrap w:val="0"/>
            <w:vAlign w:val="center"/>
          </w:tcPr>
          <w:p>
            <w:pPr>
              <w:pStyle w:val="50"/>
              <w:spacing w:line="240" w:lineRule="auto"/>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评价范围内无分散式水源井</w:t>
            </w:r>
          </w:p>
        </w:tc>
        <w:tc>
          <w:tcPr>
            <w:tcW w:w="899" w:type="pct"/>
            <w:gridSpan w:val="4"/>
            <w:noWrap w:val="0"/>
            <w:vAlign w:val="center"/>
          </w:tcPr>
          <w:p>
            <w:pPr>
              <w:pStyle w:val="50"/>
              <w:spacing w:line="240" w:lineRule="auto"/>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G3</w:t>
            </w:r>
          </w:p>
        </w:tc>
        <w:tc>
          <w:tcPr>
            <w:tcW w:w="573" w:type="pct"/>
            <w:gridSpan w:val="2"/>
            <w:noWrap w:val="0"/>
            <w:vAlign w:val="center"/>
          </w:tcPr>
          <w:p>
            <w:pPr>
              <w:pStyle w:val="50"/>
              <w:spacing w:line="240" w:lineRule="auto"/>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Ⅲ类</w:t>
            </w:r>
          </w:p>
        </w:tc>
        <w:tc>
          <w:tcPr>
            <w:tcW w:w="915" w:type="pct"/>
            <w:gridSpan w:val="3"/>
            <w:noWrap w:val="0"/>
            <w:vAlign w:val="center"/>
          </w:tcPr>
          <w:p>
            <w:pPr>
              <w:pStyle w:val="50"/>
              <w:spacing w:line="240" w:lineRule="auto"/>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D2</w:t>
            </w:r>
          </w:p>
        </w:tc>
        <w:tc>
          <w:tcPr>
            <w:tcW w:w="834" w:type="pct"/>
            <w:noWrap w:val="0"/>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c>
          <w:tcPr>
            <w:tcW w:w="405" w:type="pct"/>
            <w:vMerge w:val="continue"/>
            <w:noWrap w:val="0"/>
            <w:vAlign w:val="center"/>
          </w:tcPr>
          <w:p>
            <w:pPr>
              <w:widowControl/>
              <w:snapToGrid w:val="0"/>
              <w:jc w:val="center"/>
              <w:rPr>
                <w:rFonts w:hint="default" w:ascii="Times New Roman" w:hAnsi="Times New Roman" w:cs="Times New Roman"/>
                <w:szCs w:val="21"/>
              </w:rPr>
            </w:pPr>
          </w:p>
        </w:tc>
        <w:tc>
          <w:tcPr>
            <w:tcW w:w="3760" w:type="pct"/>
            <w:gridSpan w:val="13"/>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地下水环境敏感程度E值</w:t>
            </w:r>
          </w:p>
        </w:tc>
        <w:tc>
          <w:tcPr>
            <w:tcW w:w="834" w:type="pct"/>
            <w:noWrap w:val="0"/>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E3</w:t>
            </w:r>
          </w:p>
        </w:tc>
      </w:tr>
    </w:tbl>
    <w:p>
      <w:pPr>
        <w:pStyle w:val="5"/>
        <w:spacing w:before="0" w:after="0" w:line="360" w:lineRule="auto"/>
        <w:rPr>
          <w:rFonts w:hint="default" w:ascii="Times New Roman" w:hAnsi="Times New Roman" w:eastAsia="宋体" w:cs="Times New Roman"/>
          <w:sz w:val="30"/>
          <w:szCs w:val="30"/>
        </w:rPr>
      </w:pPr>
      <w:bookmarkStart w:id="66" w:name="_Toc16952"/>
      <w:bookmarkStart w:id="67" w:name="_Toc9227"/>
      <w:r>
        <w:rPr>
          <w:rFonts w:hint="default" w:ascii="Times New Roman" w:hAnsi="Times New Roman" w:eastAsia="宋体" w:cs="Times New Roman"/>
          <w:sz w:val="30"/>
          <w:szCs w:val="30"/>
        </w:rPr>
        <w:t>5.4环境风险潜势判断</w:t>
      </w:r>
      <w:bookmarkEnd w:id="66"/>
      <w:bookmarkEnd w:id="67"/>
    </w:p>
    <w:p>
      <w:pPr>
        <w:pStyle w:val="6"/>
        <w:spacing w:before="0" w:after="0" w:line="360" w:lineRule="auto"/>
        <w:rPr>
          <w:rFonts w:hint="default" w:ascii="Times New Roman" w:hAnsi="Times New Roman" w:cs="Times New Roman"/>
          <w:kern w:val="0"/>
          <w:sz w:val="28"/>
        </w:rPr>
      </w:pPr>
      <w:bookmarkStart w:id="68" w:name="_Toc8658"/>
      <w:bookmarkStart w:id="69" w:name="_Toc29197"/>
      <w:r>
        <w:rPr>
          <w:rFonts w:hint="default" w:ascii="Times New Roman" w:hAnsi="Times New Roman" w:cs="Times New Roman"/>
          <w:kern w:val="0"/>
          <w:sz w:val="28"/>
        </w:rPr>
        <w:t>5.4.1环境风险潜势划分</w:t>
      </w:r>
      <w:bookmarkEnd w:id="68"/>
      <w:bookmarkEnd w:id="69"/>
    </w:p>
    <w:p>
      <w:pPr>
        <w:widowControl/>
        <w:spacing w:line="360" w:lineRule="auto"/>
        <w:ind w:firstLine="480" w:firstLineChars="200"/>
        <w:jc w:val="left"/>
        <w:rPr>
          <w:rFonts w:hint="default" w:ascii="Times New Roman" w:hAnsi="Times New Roman" w:cs="Times New Roman"/>
          <w:sz w:val="24"/>
          <w:szCs w:val="21"/>
        </w:rPr>
      </w:pPr>
      <w:r>
        <w:rPr>
          <w:rFonts w:hint="default" w:ascii="Times New Roman" w:hAnsi="Times New Roman" w:cs="Times New Roman"/>
          <w:sz w:val="24"/>
          <w:szCs w:val="21"/>
        </w:rPr>
        <w:t>建设项目环境风险潜势划分为Ⅰ、Ⅱ、Ⅲ、Ⅳ/Ⅳ+ 级。根据建设项目涉及的物质和工艺系统的危险性及其所在地的环境敏感程度，结合事故情形下环境影响途径，对建设项目潜在环境危害程度进行概化分析，按照表5.4-1确定环境风险潜势。</w:t>
      </w:r>
    </w:p>
    <w:p>
      <w:pPr>
        <w:widowControl/>
        <w:jc w:val="center"/>
        <w:rPr>
          <w:rFonts w:hint="default" w:ascii="Times New Roman" w:hAnsi="Times New Roman" w:cs="Times New Roman"/>
          <w:b/>
          <w:bCs/>
          <w:szCs w:val="21"/>
        </w:rPr>
      </w:pPr>
      <w:r>
        <w:rPr>
          <w:rFonts w:hint="default" w:ascii="Times New Roman" w:hAnsi="Times New Roman" w:cs="Times New Roman"/>
          <w:b/>
          <w:bCs/>
          <w:szCs w:val="21"/>
        </w:rPr>
        <w:t>表5.4-1  建设项目风险潜势划分</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556"/>
        <w:gridCol w:w="1560"/>
        <w:gridCol w:w="1560"/>
        <w:gridCol w:w="16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2" w:type="pct"/>
            <w:vMerge w:val="restar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环境敏感程度（E）</w:t>
            </w:r>
          </w:p>
        </w:tc>
        <w:tc>
          <w:tcPr>
            <w:tcW w:w="3688" w:type="pct"/>
            <w:gridSpan w:val="4"/>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危险物质及工艺系统危险性（P）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2" w:type="pct"/>
            <w:vMerge w:val="continue"/>
            <w:noWrap w:val="0"/>
            <w:vAlign w:val="center"/>
          </w:tcPr>
          <w:p>
            <w:pPr>
              <w:widowControl/>
              <w:jc w:val="center"/>
              <w:rPr>
                <w:rFonts w:hint="default" w:ascii="Times New Roman" w:hAnsi="Times New Roman" w:cs="Times New Roman"/>
                <w:szCs w:val="21"/>
              </w:rPr>
            </w:pPr>
          </w:p>
        </w:tc>
        <w:tc>
          <w:tcPr>
            <w:tcW w:w="913"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极高危害（P1）</w:t>
            </w:r>
          </w:p>
        </w:tc>
        <w:tc>
          <w:tcPr>
            <w:tcW w:w="915"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高度危害(P2)</w:t>
            </w:r>
          </w:p>
        </w:tc>
        <w:tc>
          <w:tcPr>
            <w:tcW w:w="915"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中度危害(P3)</w:t>
            </w:r>
          </w:p>
        </w:tc>
        <w:tc>
          <w:tcPr>
            <w:tcW w:w="946"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轻度危害（P4）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2"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环境高度敏感区（E1）</w:t>
            </w:r>
          </w:p>
        </w:tc>
        <w:tc>
          <w:tcPr>
            <w:tcW w:w="913"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Ⅳ</w:t>
            </w:r>
            <w:r>
              <w:rPr>
                <w:rFonts w:hint="default" w:ascii="Times New Roman" w:hAnsi="Times New Roman" w:cs="Times New Roman"/>
                <w:szCs w:val="21"/>
                <w:vertAlign w:val="superscript"/>
              </w:rPr>
              <w:t>+</w:t>
            </w:r>
          </w:p>
        </w:tc>
        <w:tc>
          <w:tcPr>
            <w:tcW w:w="915"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Ⅳ</w:t>
            </w:r>
          </w:p>
        </w:tc>
        <w:tc>
          <w:tcPr>
            <w:tcW w:w="915"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Ⅲ</w:t>
            </w:r>
          </w:p>
        </w:tc>
        <w:tc>
          <w:tcPr>
            <w:tcW w:w="946"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2"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环境中度敏感区（E2）</w:t>
            </w:r>
          </w:p>
        </w:tc>
        <w:tc>
          <w:tcPr>
            <w:tcW w:w="913"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Ⅳ</w:t>
            </w:r>
          </w:p>
        </w:tc>
        <w:tc>
          <w:tcPr>
            <w:tcW w:w="915"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Ⅲ</w:t>
            </w:r>
          </w:p>
        </w:tc>
        <w:tc>
          <w:tcPr>
            <w:tcW w:w="915"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Ⅲ</w:t>
            </w:r>
          </w:p>
        </w:tc>
        <w:tc>
          <w:tcPr>
            <w:tcW w:w="946"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2"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环境低度敏感区（E3）</w:t>
            </w:r>
          </w:p>
        </w:tc>
        <w:tc>
          <w:tcPr>
            <w:tcW w:w="913"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Ⅲ</w:t>
            </w:r>
          </w:p>
        </w:tc>
        <w:tc>
          <w:tcPr>
            <w:tcW w:w="915"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Ⅲ</w:t>
            </w:r>
          </w:p>
        </w:tc>
        <w:tc>
          <w:tcPr>
            <w:tcW w:w="915"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Ⅱ</w:t>
            </w:r>
          </w:p>
        </w:tc>
        <w:tc>
          <w:tcPr>
            <w:tcW w:w="946"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pPr>
              <w:widowControl/>
              <w:jc w:val="left"/>
              <w:rPr>
                <w:rFonts w:hint="default" w:ascii="Times New Roman" w:hAnsi="Times New Roman" w:cs="Times New Roman"/>
                <w:szCs w:val="21"/>
              </w:rPr>
            </w:pPr>
            <w:r>
              <w:rPr>
                <w:rFonts w:hint="default" w:ascii="Times New Roman" w:hAnsi="Times New Roman" w:cs="Times New Roman"/>
                <w:szCs w:val="21"/>
              </w:rPr>
              <w:t>注：Ⅳ</w:t>
            </w:r>
            <w:r>
              <w:rPr>
                <w:rFonts w:hint="default" w:ascii="Times New Roman" w:hAnsi="Times New Roman" w:cs="Times New Roman"/>
                <w:szCs w:val="21"/>
                <w:vertAlign w:val="superscript"/>
              </w:rPr>
              <w:t>+</w:t>
            </w:r>
            <w:r>
              <w:rPr>
                <w:rFonts w:hint="default" w:ascii="Times New Roman" w:hAnsi="Times New Roman" w:cs="Times New Roman"/>
                <w:szCs w:val="21"/>
              </w:rPr>
              <w:t>为极高环境风险</w:t>
            </w:r>
          </w:p>
        </w:tc>
      </w:tr>
    </w:tbl>
    <w:p>
      <w:pPr>
        <w:pStyle w:val="6"/>
        <w:spacing w:before="0" w:after="0" w:line="360" w:lineRule="auto"/>
        <w:rPr>
          <w:rFonts w:hint="default" w:ascii="Times New Roman" w:hAnsi="Times New Roman" w:cs="Times New Roman"/>
          <w:kern w:val="0"/>
          <w:sz w:val="28"/>
        </w:rPr>
      </w:pPr>
      <w:bookmarkStart w:id="70" w:name="_Toc27234"/>
      <w:bookmarkStart w:id="71" w:name="_Toc25431"/>
      <w:r>
        <w:rPr>
          <w:rFonts w:hint="default" w:ascii="Times New Roman" w:hAnsi="Times New Roman" w:cs="Times New Roman"/>
          <w:kern w:val="0"/>
          <w:sz w:val="28"/>
        </w:rPr>
        <w:t>5.4.2</w:t>
      </w:r>
      <w:r>
        <w:rPr>
          <w:rFonts w:hint="default" w:ascii="Times New Roman" w:hAnsi="Times New Roman" w:cs="Times New Roman"/>
          <w:kern w:val="0"/>
          <w:sz w:val="28"/>
          <w:lang w:val="en-US" w:eastAsia="zh-CN"/>
        </w:rPr>
        <w:t xml:space="preserve"> </w:t>
      </w:r>
      <w:r>
        <w:rPr>
          <w:rFonts w:hint="default" w:ascii="Times New Roman" w:hAnsi="Times New Roman" w:cs="Times New Roman"/>
          <w:kern w:val="0"/>
          <w:sz w:val="28"/>
        </w:rPr>
        <w:t>P的分级确定</w:t>
      </w:r>
      <w:bookmarkEnd w:id="70"/>
      <w:bookmarkEnd w:id="71"/>
    </w:p>
    <w:p>
      <w:pPr>
        <w:widowControl/>
        <w:spacing w:line="360" w:lineRule="auto"/>
        <w:ind w:firstLine="480" w:firstLineChars="200"/>
        <w:jc w:val="left"/>
        <w:rPr>
          <w:rFonts w:hint="default" w:ascii="Times New Roman" w:hAnsi="Times New Roman" w:cs="Times New Roman"/>
          <w:sz w:val="24"/>
          <w:szCs w:val="21"/>
        </w:rPr>
      </w:pPr>
      <w:r>
        <w:rPr>
          <w:rFonts w:hint="default" w:ascii="Times New Roman" w:hAnsi="Times New Roman" w:cs="Times New Roman"/>
          <w:sz w:val="24"/>
          <w:szCs w:val="21"/>
        </w:rPr>
        <w:t>本次评价按照《建设项目环境风险评价技术导则》（HJ/T169-2018）附表C.2确定危险物质及工艺系统危险性等级（P），判别标准见表5.4-2。</w:t>
      </w:r>
    </w:p>
    <w:p>
      <w:pPr>
        <w:widowControl/>
        <w:jc w:val="center"/>
        <w:rPr>
          <w:rFonts w:hint="default" w:ascii="Times New Roman" w:hAnsi="Times New Roman" w:cs="Times New Roman"/>
          <w:b/>
          <w:bCs/>
          <w:szCs w:val="21"/>
          <w:lang w:val="zh-CN"/>
        </w:rPr>
      </w:pPr>
      <w:r>
        <w:rPr>
          <w:rFonts w:hint="default" w:ascii="Times New Roman" w:hAnsi="Times New Roman" w:cs="Times New Roman"/>
          <w:b/>
          <w:bCs/>
          <w:szCs w:val="21"/>
          <w:lang w:val="zh-CN"/>
        </w:rPr>
        <w:t>表</w:t>
      </w:r>
      <w:r>
        <w:rPr>
          <w:rFonts w:hint="default" w:ascii="Times New Roman" w:hAnsi="Times New Roman" w:cs="Times New Roman"/>
          <w:b/>
          <w:bCs/>
          <w:szCs w:val="21"/>
        </w:rPr>
        <w:t>5.4-2</w:t>
      </w:r>
      <w:r>
        <w:rPr>
          <w:rFonts w:hint="default" w:ascii="Times New Roman" w:hAnsi="Times New Roman" w:cs="Times New Roman"/>
          <w:b/>
          <w:bCs/>
          <w:szCs w:val="21"/>
          <w:lang w:val="zh-CN"/>
        </w:rPr>
        <w:t xml:space="preserve">   危险物质及工艺系统危险性等级判断</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320"/>
        <w:gridCol w:w="1419"/>
        <w:gridCol w:w="1130"/>
        <w:gridCol w:w="1171"/>
        <w:gridCol w:w="12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98" w:type="pct"/>
            <w:vMerge w:val="restar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危险物质数量与临界量比值（Q）</w:t>
            </w:r>
          </w:p>
        </w:tc>
        <w:tc>
          <w:tcPr>
            <w:tcW w:w="3001" w:type="pct"/>
            <w:gridSpan w:val="4"/>
            <w:noWrap w:val="0"/>
            <w:vAlign w:val="center"/>
          </w:tcPr>
          <w:p>
            <w:pPr>
              <w:widowControl/>
              <w:jc w:val="center"/>
              <w:rPr>
                <w:rFonts w:hint="default" w:ascii="Times New Roman" w:hAnsi="Times New Roman" w:cs="Times New Roman"/>
                <w:szCs w:val="21"/>
                <w:lang w:val="pt-BR"/>
              </w:rPr>
            </w:pPr>
            <w:r>
              <w:rPr>
                <w:rFonts w:hint="default" w:ascii="Times New Roman" w:hAnsi="Times New Roman" w:cs="Times New Roman"/>
                <w:szCs w:val="21"/>
                <w:lang w:val="pt-BR"/>
              </w:rPr>
              <w:t>行业及生产工艺（M）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98" w:type="pct"/>
            <w:vMerge w:val="continue"/>
            <w:noWrap w:val="0"/>
            <w:vAlign w:val="center"/>
          </w:tcPr>
          <w:p>
            <w:pPr>
              <w:widowControl/>
              <w:jc w:val="center"/>
              <w:rPr>
                <w:rFonts w:hint="default" w:ascii="Times New Roman" w:hAnsi="Times New Roman" w:cs="Times New Roman"/>
                <w:szCs w:val="21"/>
              </w:rPr>
            </w:pPr>
          </w:p>
        </w:tc>
        <w:tc>
          <w:tcPr>
            <w:tcW w:w="854"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M1</w:t>
            </w:r>
          </w:p>
        </w:tc>
        <w:tc>
          <w:tcPr>
            <w:tcW w:w="680"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M2</w:t>
            </w:r>
          </w:p>
        </w:tc>
        <w:tc>
          <w:tcPr>
            <w:tcW w:w="705"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M3</w:t>
            </w:r>
          </w:p>
        </w:tc>
        <w:tc>
          <w:tcPr>
            <w:tcW w:w="762" w:type="pct"/>
            <w:noWrap w:val="0"/>
            <w:vAlign w:val="center"/>
          </w:tcPr>
          <w:p>
            <w:pPr>
              <w:widowControl/>
              <w:jc w:val="center"/>
              <w:rPr>
                <w:rFonts w:hint="default" w:ascii="Times New Roman" w:hAnsi="Times New Roman" w:cs="Times New Roman"/>
                <w:szCs w:val="21"/>
                <w:lang w:val="pt-BR"/>
              </w:rPr>
            </w:pPr>
            <w:r>
              <w:rPr>
                <w:rFonts w:hint="default" w:ascii="Times New Roman" w:hAnsi="Times New Roman" w:cs="Times New Roman"/>
                <w:szCs w:val="21"/>
                <w:lang w:val="pt-BR"/>
              </w:rPr>
              <w:t>M4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98"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Q≥100</w:t>
            </w:r>
          </w:p>
        </w:tc>
        <w:tc>
          <w:tcPr>
            <w:tcW w:w="854"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P1</w:t>
            </w:r>
          </w:p>
        </w:tc>
        <w:tc>
          <w:tcPr>
            <w:tcW w:w="680"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P1</w:t>
            </w:r>
          </w:p>
        </w:tc>
        <w:tc>
          <w:tcPr>
            <w:tcW w:w="705"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P2</w:t>
            </w:r>
          </w:p>
        </w:tc>
        <w:tc>
          <w:tcPr>
            <w:tcW w:w="762" w:type="pct"/>
            <w:noWrap w:val="0"/>
            <w:vAlign w:val="center"/>
          </w:tcPr>
          <w:p>
            <w:pPr>
              <w:widowControl/>
              <w:jc w:val="center"/>
              <w:rPr>
                <w:rFonts w:hint="default" w:ascii="Times New Roman" w:hAnsi="Times New Roman" w:cs="Times New Roman"/>
                <w:szCs w:val="21"/>
                <w:lang w:val="pt-BR"/>
              </w:rPr>
            </w:pPr>
            <w:r>
              <w:rPr>
                <w:rFonts w:hint="default" w:ascii="Times New Roman" w:hAnsi="Times New Roman" w:cs="Times New Roman"/>
                <w:szCs w:val="21"/>
                <w:lang w:val="pt-BR"/>
              </w:rPr>
              <w:t>P3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98"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10≤Q﹤100</w:t>
            </w:r>
          </w:p>
        </w:tc>
        <w:tc>
          <w:tcPr>
            <w:tcW w:w="854"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P1</w:t>
            </w:r>
          </w:p>
        </w:tc>
        <w:tc>
          <w:tcPr>
            <w:tcW w:w="680"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P2</w:t>
            </w:r>
          </w:p>
        </w:tc>
        <w:tc>
          <w:tcPr>
            <w:tcW w:w="705" w:type="pct"/>
            <w:noWrap w:val="0"/>
            <w:vAlign w:val="center"/>
          </w:tcPr>
          <w:p>
            <w:pPr>
              <w:widowControl/>
              <w:jc w:val="center"/>
              <w:rPr>
                <w:rFonts w:hint="default" w:ascii="Times New Roman" w:hAnsi="Times New Roman" w:cs="Times New Roman"/>
                <w:szCs w:val="21"/>
                <w:lang w:val="pt-BR"/>
              </w:rPr>
            </w:pPr>
            <w:r>
              <w:rPr>
                <w:rFonts w:hint="default" w:ascii="Times New Roman" w:hAnsi="Times New Roman" w:cs="Times New Roman"/>
                <w:szCs w:val="21"/>
                <w:lang w:val="pt-BR"/>
              </w:rPr>
              <w:t>P3</w:t>
            </w:r>
          </w:p>
        </w:tc>
        <w:tc>
          <w:tcPr>
            <w:tcW w:w="762" w:type="pct"/>
            <w:noWrap w:val="0"/>
            <w:vAlign w:val="center"/>
          </w:tcPr>
          <w:p>
            <w:pPr>
              <w:widowControl/>
              <w:jc w:val="center"/>
              <w:rPr>
                <w:rFonts w:hint="default" w:ascii="Times New Roman" w:hAnsi="Times New Roman" w:cs="Times New Roman"/>
                <w:szCs w:val="21"/>
                <w:lang w:val="pt-BR"/>
              </w:rPr>
            </w:pPr>
            <w:r>
              <w:rPr>
                <w:rFonts w:hint="default" w:ascii="Times New Roman" w:hAnsi="Times New Roman" w:cs="Times New Roman"/>
                <w:szCs w:val="21"/>
                <w:lang w:val="pt-BR"/>
              </w:rPr>
              <w:t>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98"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1≤Q﹤10</w:t>
            </w:r>
          </w:p>
        </w:tc>
        <w:tc>
          <w:tcPr>
            <w:tcW w:w="854"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P2</w:t>
            </w:r>
          </w:p>
        </w:tc>
        <w:tc>
          <w:tcPr>
            <w:tcW w:w="680" w:type="pct"/>
            <w:noWrap w:val="0"/>
            <w:vAlign w:val="center"/>
          </w:tcPr>
          <w:p>
            <w:pPr>
              <w:widowControl/>
              <w:jc w:val="center"/>
              <w:rPr>
                <w:rFonts w:hint="default" w:ascii="Times New Roman" w:hAnsi="Times New Roman" w:cs="Times New Roman"/>
                <w:szCs w:val="21"/>
                <w:lang w:val="pt-BR"/>
              </w:rPr>
            </w:pPr>
            <w:r>
              <w:rPr>
                <w:rFonts w:hint="default" w:ascii="Times New Roman" w:hAnsi="Times New Roman" w:cs="Times New Roman"/>
                <w:szCs w:val="21"/>
                <w:lang w:val="pt-BR"/>
              </w:rPr>
              <w:t>P3</w:t>
            </w:r>
          </w:p>
        </w:tc>
        <w:tc>
          <w:tcPr>
            <w:tcW w:w="705" w:type="pct"/>
            <w:noWrap w:val="0"/>
            <w:vAlign w:val="center"/>
          </w:tcPr>
          <w:p>
            <w:pPr>
              <w:widowControl/>
              <w:jc w:val="center"/>
              <w:rPr>
                <w:rFonts w:hint="default" w:ascii="Times New Roman" w:hAnsi="Times New Roman" w:cs="Times New Roman"/>
                <w:szCs w:val="21"/>
                <w:lang w:val="pt-BR"/>
              </w:rPr>
            </w:pPr>
            <w:r>
              <w:rPr>
                <w:rFonts w:hint="default" w:ascii="Times New Roman" w:hAnsi="Times New Roman" w:cs="Times New Roman"/>
                <w:szCs w:val="21"/>
                <w:lang w:val="pt-BR"/>
              </w:rPr>
              <w:t>P4</w:t>
            </w:r>
          </w:p>
        </w:tc>
        <w:tc>
          <w:tcPr>
            <w:tcW w:w="762" w:type="pct"/>
            <w:noWrap w:val="0"/>
            <w:vAlign w:val="center"/>
          </w:tcPr>
          <w:p>
            <w:pPr>
              <w:widowControl/>
              <w:jc w:val="center"/>
              <w:rPr>
                <w:rFonts w:hint="default" w:ascii="Times New Roman" w:hAnsi="Times New Roman" w:cs="Times New Roman"/>
                <w:szCs w:val="21"/>
                <w:lang w:val="pt-BR"/>
              </w:rPr>
            </w:pPr>
            <w:r>
              <w:rPr>
                <w:rFonts w:hint="default" w:ascii="Times New Roman" w:hAnsi="Times New Roman" w:cs="Times New Roman"/>
                <w:szCs w:val="21"/>
                <w:lang w:val="pt-BR"/>
              </w:rPr>
              <w:t>P4</w:t>
            </w:r>
          </w:p>
        </w:tc>
      </w:tr>
    </w:tbl>
    <w:p>
      <w:pPr>
        <w:widowControl/>
        <w:spacing w:line="360" w:lineRule="auto"/>
        <w:ind w:firstLine="480" w:firstLineChars="200"/>
        <w:jc w:val="left"/>
        <w:rPr>
          <w:rFonts w:hint="default" w:ascii="Times New Roman" w:hAnsi="Times New Roman" w:cs="Times New Roman"/>
          <w:sz w:val="24"/>
          <w:szCs w:val="21"/>
        </w:rPr>
      </w:pPr>
      <w:r>
        <w:rPr>
          <w:rFonts w:hint="default" w:ascii="Times New Roman" w:hAnsi="Times New Roman" w:cs="Times New Roman"/>
          <w:sz w:val="24"/>
          <w:szCs w:val="21"/>
        </w:rPr>
        <w:t>分析建设项目生产、使用、储存过程中涉及的有毒有害、易燃易爆物质，参照《建设项目环境风险评价技术导则》（HJ169-2018）附录B中危险物质的临界量，定量分析危险物质数量与临界量的比值Q和所属行业及生产工艺特点M，按照附录C对危险物质及工艺系统危险性P等级进行判断。</w:t>
      </w:r>
    </w:p>
    <w:p>
      <w:pPr>
        <w:widowControl/>
        <w:spacing w:line="360" w:lineRule="auto"/>
        <w:ind w:firstLine="480" w:firstLineChars="200"/>
        <w:jc w:val="left"/>
        <w:rPr>
          <w:rFonts w:hint="default" w:ascii="Times New Roman" w:hAnsi="Times New Roman" w:cs="Times New Roman"/>
          <w:sz w:val="24"/>
          <w:szCs w:val="21"/>
        </w:rPr>
      </w:pPr>
      <w:r>
        <w:rPr>
          <w:rFonts w:hint="default" w:ascii="Times New Roman" w:hAnsi="Times New Roman" w:cs="Times New Roman"/>
          <w:sz w:val="24"/>
          <w:szCs w:val="21"/>
        </w:rPr>
        <w:t>计算所涉及的每种危险物质在厂界内的最大存在总量与其在附录B中对应临界量的比值Q。</w:t>
      </w:r>
    </w:p>
    <w:p>
      <w:pPr>
        <w:widowControl/>
        <w:spacing w:line="360" w:lineRule="auto"/>
        <w:ind w:firstLine="480" w:firstLineChars="200"/>
        <w:jc w:val="left"/>
        <w:rPr>
          <w:rFonts w:hint="default" w:ascii="Times New Roman" w:hAnsi="Times New Roman" w:cs="Times New Roman"/>
          <w:sz w:val="24"/>
          <w:szCs w:val="21"/>
        </w:rPr>
      </w:pPr>
      <w:r>
        <w:rPr>
          <w:rFonts w:hint="default" w:ascii="Times New Roman" w:hAnsi="Times New Roman" w:cs="Times New Roman"/>
          <w:sz w:val="24"/>
          <w:szCs w:val="21"/>
        </w:rPr>
        <w:t>当只涉及一种危险物质时，计算该物质的总量与其临界量比值，即为Q；当存在多种危险物质时，则按式（C.1）计算物质总量与其临界量比值（Q）：</w:t>
      </w:r>
    </w:p>
    <w:p>
      <w:pPr>
        <w:widowControl/>
        <w:spacing w:line="360" w:lineRule="auto"/>
        <w:ind w:firstLine="480" w:firstLineChars="200"/>
        <w:jc w:val="center"/>
        <w:rPr>
          <w:rFonts w:hint="default" w:ascii="Times New Roman" w:hAnsi="Times New Roman" w:cs="Times New Roman"/>
          <w:sz w:val="24"/>
          <w:szCs w:val="21"/>
        </w:rPr>
      </w:pPr>
      <w:r>
        <w:rPr>
          <w:rFonts w:hint="default" w:ascii="Times New Roman" w:hAnsi="Times New Roman" w:cs="Times New Roman"/>
          <w:sz w:val="24"/>
          <w:szCs w:val="21"/>
        </w:rPr>
        <w:drawing>
          <wp:inline distT="0" distB="0" distL="114300" distR="114300">
            <wp:extent cx="1657350" cy="485775"/>
            <wp:effectExtent l="0" t="0" r="0" b="952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14"/>
                    <a:stretch>
                      <a:fillRect/>
                    </a:stretch>
                  </pic:blipFill>
                  <pic:spPr>
                    <a:xfrm>
                      <a:off x="0" y="0"/>
                      <a:ext cx="1657350" cy="485775"/>
                    </a:xfrm>
                    <a:prstGeom prst="rect">
                      <a:avLst/>
                    </a:prstGeom>
                    <a:noFill/>
                    <a:ln>
                      <a:noFill/>
                    </a:ln>
                  </pic:spPr>
                </pic:pic>
              </a:graphicData>
            </a:graphic>
          </wp:inline>
        </w:drawing>
      </w:r>
    </w:p>
    <w:p>
      <w:pPr>
        <w:widowControl/>
        <w:spacing w:line="360" w:lineRule="auto"/>
        <w:ind w:firstLine="480" w:firstLineChars="200"/>
        <w:jc w:val="left"/>
        <w:rPr>
          <w:rFonts w:hint="default" w:ascii="Times New Roman" w:hAnsi="Times New Roman" w:cs="Times New Roman"/>
          <w:sz w:val="24"/>
          <w:szCs w:val="21"/>
        </w:rPr>
      </w:pPr>
      <w:r>
        <w:rPr>
          <w:rFonts w:hint="default" w:ascii="Times New Roman" w:hAnsi="Times New Roman" w:cs="Times New Roman"/>
          <w:sz w:val="24"/>
          <w:szCs w:val="21"/>
        </w:rPr>
        <w:t>式中：q1，q2，...，qn ——每种危险物质的最大存在总量，t；</w:t>
      </w:r>
    </w:p>
    <w:p>
      <w:pPr>
        <w:widowControl/>
        <w:spacing w:line="360" w:lineRule="auto"/>
        <w:ind w:firstLine="1200" w:firstLineChars="500"/>
        <w:jc w:val="left"/>
        <w:rPr>
          <w:rFonts w:hint="default" w:ascii="Times New Roman" w:hAnsi="Times New Roman" w:cs="Times New Roman"/>
          <w:sz w:val="24"/>
          <w:szCs w:val="21"/>
        </w:rPr>
      </w:pPr>
      <w:r>
        <w:rPr>
          <w:rFonts w:hint="default" w:ascii="Times New Roman" w:hAnsi="Times New Roman" w:cs="Times New Roman"/>
          <w:sz w:val="24"/>
          <w:szCs w:val="21"/>
        </w:rPr>
        <w:t>Q1，Q2，...，Q n——每种危险物质的临界量，t。</w:t>
      </w:r>
    </w:p>
    <w:p>
      <w:pPr>
        <w:widowControl/>
        <w:spacing w:line="360" w:lineRule="auto"/>
        <w:ind w:firstLine="480" w:firstLineChars="200"/>
        <w:jc w:val="left"/>
        <w:rPr>
          <w:rFonts w:hint="default" w:ascii="Times New Roman" w:hAnsi="Times New Roman" w:cs="Times New Roman"/>
          <w:sz w:val="24"/>
          <w:szCs w:val="21"/>
        </w:rPr>
      </w:pPr>
      <w:r>
        <w:rPr>
          <w:rFonts w:hint="default" w:ascii="Times New Roman" w:hAnsi="Times New Roman" w:cs="Times New Roman"/>
          <w:sz w:val="24"/>
          <w:szCs w:val="21"/>
        </w:rPr>
        <w:t>当 Q＜1 时，该项目环境风险潜势为Ⅰ。</w:t>
      </w:r>
    </w:p>
    <w:p>
      <w:pPr>
        <w:widowControl/>
        <w:spacing w:line="360" w:lineRule="auto"/>
        <w:ind w:firstLine="480" w:firstLineChars="200"/>
        <w:jc w:val="left"/>
        <w:rPr>
          <w:rFonts w:hint="default" w:ascii="Times New Roman" w:hAnsi="Times New Roman" w:cs="Times New Roman"/>
          <w:sz w:val="24"/>
          <w:szCs w:val="21"/>
        </w:rPr>
      </w:pPr>
      <w:r>
        <w:rPr>
          <w:rFonts w:hint="default" w:ascii="Times New Roman" w:hAnsi="Times New Roman" w:cs="Times New Roman"/>
          <w:sz w:val="24"/>
          <w:szCs w:val="21"/>
        </w:rPr>
        <w:t>当 Q≥1 时，将 Q 值划分为：（1）1≤Q＜10；（2）10≤Q＜100；（3）Q≥100。</w:t>
      </w:r>
    </w:p>
    <w:p>
      <w:pPr>
        <w:widowControl/>
        <w:spacing w:line="360" w:lineRule="auto"/>
        <w:ind w:firstLine="480" w:firstLineChars="200"/>
        <w:jc w:val="left"/>
        <w:rPr>
          <w:rFonts w:hint="default" w:ascii="Times New Roman" w:hAnsi="Times New Roman" w:cs="Times New Roman"/>
          <w:sz w:val="24"/>
          <w:szCs w:val="21"/>
        </w:rPr>
      </w:pPr>
      <w:r>
        <w:rPr>
          <w:rFonts w:hint="default" w:ascii="Times New Roman" w:hAnsi="Times New Roman" w:cs="Times New Roman"/>
          <w:sz w:val="24"/>
          <w:szCs w:val="21"/>
        </w:rPr>
        <w:t>本项目Q值确定见表5.4-3。</w:t>
      </w:r>
    </w:p>
    <w:p>
      <w:pPr>
        <w:widowControl/>
        <w:jc w:val="center"/>
        <w:rPr>
          <w:rFonts w:hint="default" w:ascii="Times New Roman" w:hAnsi="Times New Roman" w:cs="Times New Roman"/>
          <w:b/>
          <w:bCs/>
          <w:szCs w:val="21"/>
        </w:rPr>
      </w:pPr>
      <w:r>
        <w:rPr>
          <w:rFonts w:hint="default" w:ascii="Times New Roman" w:hAnsi="Times New Roman" w:cs="Times New Roman"/>
          <w:b/>
          <w:bCs/>
          <w:szCs w:val="21"/>
        </w:rPr>
        <w:t>表5.4-3    建设项目Q值确定表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543"/>
        <w:gridCol w:w="1120"/>
        <w:gridCol w:w="1882"/>
        <w:gridCol w:w="1296"/>
        <w:gridCol w:w="20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序号</w:t>
            </w:r>
          </w:p>
        </w:tc>
        <w:tc>
          <w:tcPr>
            <w:tcW w:w="905"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危险物质名称</w:t>
            </w:r>
          </w:p>
        </w:tc>
        <w:tc>
          <w:tcPr>
            <w:tcW w:w="657"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CAS号</w:t>
            </w:r>
          </w:p>
        </w:tc>
        <w:tc>
          <w:tcPr>
            <w:tcW w:w="1104"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最大存在总量qn/t</w:t>
            </w:r>
          </w:p>
        </w:tc>
        <w:tc>
          <w:tcPr>
            <w:tcW w:w="759"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临界量Qn/t</w:t>
            </w:r>
          </w:p>
        </w:tc>
        <w:tc>
          <w:tcPr>
            <w:tcW w:w="1195"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该种危险物质Q值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1</w:t>
            </w:r>
          </w:p>
        </w:tc>
        <w:tc>
          <w:tcPr>
            <w:tcW w:w="905"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次氯酸钠</w:t>
            </w:r>
          </w:p>
        </w:tc>
        <w:tc>
          <w:tcPr>
            <w:tcW w:w="657"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 xml:space="preserve">7681-52-9 </w:t>
            </w:r>
          </w:p>
        </w:tc>
        <w:tc>
          <w:tcPr>
            <w:tcW w:w="1104"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0.05</w:t>
            </w:r>
          </w:p>
        </w:tc>
        <w:tc>
          <w:tcPr>
            <w:tcW w:w="759"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5</w:t>
            </w:r>
          </w:p>
        </w:tc>
        <w:tc>
          <w:tcPr>
            <w:tcW w:w="1195"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04" w:type="pct"/>
            <w:gridSpan w:val="5"/>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项目Q值∑</w:t>
            </w:r>
          </w:p>
        </w:tc>
        <w:tc>
          <w:tcPr>
            <w:tcW w:w="1195" w:type="pc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0.01</w:t>
            </w:r>
          </w:p>
        </w:tc>
      </w:tr>
    </w:tbl>
    <w:p>
      <w:pPr>
        <w:widowControl/>
        <w:spacing w:line="360" w:lineRule="auto"/>
        <w:rPr>
          <w:rFonts w:hint="eastAsia" w:ascii="Times New Roman" w:hAnsi="Times New Roman" w:cs="Times New Roman" w:eastAsiaTheme="minorEastAsia"/>
          <w:sz w:val="24"/>
          <w:szCs w:val="21"/>
          <w:lang w:eastAsia="zh-CN"/>
        </w:rPr>
      </w:pPr>
      <w:r>
        <w:rPr>
          <w:rFonts w:hint="default" w:ascii="Times New Roman" w:hAnsi="Times New Roman" w:cs="Times New Roman"/>
          <w:sz w:val="24"/>
          <w:szCs w:val="21"/>
        </w:rPr>
        <w:t>本项目Q=0.01，比值Q＜1</w:t>
      </w:r>
      <w:bookmarkStart w:id="72" w:name="_Hlk34127914"/>
      <w:r>
        <w:rPr>
          <w:rFonts w:hint="default" w:ascii="Times New Roman" w:hAnsi="Times New Roman" w:cs="Times New Roman"/>
          <w:sz w:val="24"/>
          <w:szCs w:val="21"/>
        </w:rPr>
        <w:t>，因此本项目环境风险潜势为I</w:t>
      </w:r>
      <w:bookmarkEnd w:id="72"/>
      <w:r>
        <w:rPr>
          <w:rFonts w:hint="eastAsia" w:ascii="Times New Roman" w:hAnsi="Times New Roman" w:cs="Times New Roman"/>
          <w:sz w:val="24"/>
          <w:szCs w:val="21"/>
          <w:lang w:eastAsia="zh-CN"/>
        </w:rPr>
        <w:t>。</w:t>
      </w:r>
    </w:p>
    <w:p>
      <w:pPr>
        <w:pStyle w:val="6"/>
        <w:spacing w:before="0" w:after="0" w:line="360" w:lineRule="auto"/>
        <w:rPr>
          <w:rFonts w:hint="default" w:ascii="Times New Roman" w:hAnsi="Times New Roman" w:cs="Times New Roman"/>
          <w:kern w:val="0"/>
          <w:sz w:val="28"/>
        </w:rPr>
      </w:pPr>
      <w:bookmarkStart w:id="73" w:name="_Toc7111"/>
      <w:bookmarkStart w:id="74" w:name="_Toc5051"/>
      <w:r>
        <w:rPr>
          <w:rFonts w:hint="default" w:ascii="Times New Roman" w:hAnsi="Times New Roman" w:cs="Times New Roman"/>
          <w:kern w:val="0"/>
          <w:sz w:val="28"/>
        </w:rPr>
        <w:t>5.4.3评价工作等级划分</w:t>
      </w:r>
      <w:bookmarkEnd w:id="73"/>
      <w:bookmarkEnd w:id="74"/>
    </w:p>
    <w:p>
      <w:pPr>
        <w:widowControl/>
        <w:spacing w:line="360" w:lineRule="auto"/>
        <w:ind w:firstLine="480" w:firstLineChars="200"/>
        <w:rPr>
          <w:rFonts w:hint="default" w:ascii="Times New Roman" w:hAnsi="Times New Roman" w:cs="Times New Roman"/>
          <w:sz w:val="24"/>
          <w:szCs w:val="21"/>
        </w:rPr>
      </w:pPr>
      <w:r>
        <w:rPr>
          <w:rFonts w:hint="default" w:ascii="Times New Roman" w:hAnsi="Times New Roman" w:cs="Times New Roman"/>
          <w:sz w:val="24"/>
          <w:szCs w:val="21"/>
        </w:rPr>
        <w:t>环境风险评价工作等级划分为一级、二级、三级。根据建设项目涉及的物质及工艺系统危险性和所在地的环境敏感性确定环境风险潜势，按照表5.4-4确定评价工作等级。风险潜势为Ⅳ及以上，进行一级评价；风险潜势为Ⅲ，进行二级评价；风险潜势为Ⅱ，进行三级评价；风险潜势为Ⅰ，可开展简单分析。</w:t>
      </w:r>
    </w:p>
    <w:p>
      <w:pPr>
        <w:widowControl/>
        <w:jc w:val="center"/>
        <w:rPr>
          <w:rFonts w:hint="default" w:ascii="Times New Roman" w:hAnsi="Times New Roman" w:cs="Times New Roman"/>
          <w:b/>
          <w:bCs/>
          <w:szCs w:val="21"/>
        </w:rPr>
      </w:pPr>
      <w:r>
        <w:rPr>
          <w:rFonts w:hint="default" w:ascii="Times New Roman" w:hAnsi="Times New Roman" w:cs="Times New Roman"/>
          <w:b/>
          <w:bCs/>
          <w:szCs w:val="21"/>
        </w:rPr>
        <w:t>表5.4-4    评价工作等级划分</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10"/>
        <w:gridCol w:w="1703"/>
        <w:gridCol w:w="1703"/>
        <w:gridCol w:w="1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744"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环境风险潜势</w:t>
            </w:r>
          </w:p>
        </w:tc>
        <w:tc>
          <w:tcPr>
            <w:tcW w:w="1744"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IV、IV +</w:t>
            </w:r>
          </w:p>
        </w:tc>
        <w:tc>
          <w:tcPr>
            <w:tcW w:w="1744"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III</w:t>
            </w:r>
          </w:p>
        </w:tc>
        <w:tc>
          <w:tcPr>
            <w:tcW w:w="1744"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II</w:t>
            </w:r>
          </w:p>
        </w:tc>
        <w:tc>
          <w:tcPr>
            <w:tcW w:w="174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4"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评价工作等级</w:t>
            </w:r>
          </w:p>
        </w:tc>
        <w:tc>
          <w:tcPr>
            <w:tcW w:w="1744"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一</w:t>
            </w:r>
          </w:p>
        </w:tc>
        <w:tc>
          <w:tcPr>
            <w:tcW w:w="1744"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二</w:t>
            </w:r>
          </w:p>
        </w:tc>
        <w:tc>
          <w:tcPr>
            <w:tcW w:w="1744"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三</w:t>
            </w:r>
          </w:p>
        </w:tc>
        <w:tc>
          <w:tcPr>
            <w:tcW w:w="174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简单分析a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21" w:type="dxa"/>
            <w:gridSpan w:val="5"/>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a是相对于详细评价工作内容而言，在描述危险物质、环境影响途径、环境危害后果、风险防范措施等方面给出定性的说明。见附录A。</w:t>
            </w:r>
          </w:p>
        </w:tc>
      </w:tr>
    </w:tbl>
    <w:p>
      <w:pPr>
        <w:spacing w:line="360" w:lineRule="auto"/>
        <w:ind w:firstLine="480" w:firstLineChars="200"/>
        <w:rPr>
          <w:rFonts w:hint="eastAsia" w:ascii="Times New Roman" w:hAnsi="Times New Roman" w:cs="Times New Roman" w:eastAsiaTheme="minorEastAsia"/>
          <w:sz w:val="24"/>
          <w:szCs w:val="24"/>
          <w:lang w:val="en-US" w:eastAsia="zh-CN"/>
        </w:rPr>
      </w:pPr>
      <w:r>
        <w:rPr>
          <w:rFonts w:hint="default" w:ascii="Times New Roman" w:hAnsi="Times New Roman" w:cs="Times New Roman"/>
          <w:sz w:val="24"/>
          <w:szCs w:val="24"/>
        </w:rPr>
        <w:t>根据导则要求，本项目环境风险潜势为I，可开展简单分析</w:t>
      </w:r>
      <w:r>
        <w:rPr>
          <w:rFonts w:hint="eastAsia" w:ascii="Times New Roman" w:hAnsi="Times New Roman" w:cs="Times New Roman"/>
          <w:sz w:val="24"/>
          <w:szCs w:val="24"/>
          <w:lang w:eastAsia="zh-CN"/>
        </w:rPr>
        <w:t>。</w:t>
      </w:r>
    </w:p>
    <w:p>
      <w:pPr>
        <w:pStyle w:val="5"/>
        <w:spacing w:before="0" w:after="0" w:line="360" w:lineRule="auto"/>
        <w:rPr>
          <w:rFonts w:hint="default" w:ascii="Times New Roman" w:hAnsi="Times New Roman" w:eastAsia="宋体" w:cs="Times New Roman"/>
          <w:sz w:val="30"/>
          <w:szCs w:val="30"/>
        </w:rPr>
      </w:pPr>
      <w:bookmarkStart w:id="75" w:name="_Toc25290"/>
      <w:bookmarkStart w:id="76" w:name="_Toc29500"/>
      <w:r>
        <w:rPr>
          <w:rFonts w:hint="default" w:ascii="Times New Roman" w:hAnsi="Times New Roman" w:eastAsia="宋体" w:cs="Times New Roman"/>
          <w:sz w:val="30"/>
          <w:szCs w:val="30"/>
        </w:rPr>
        <w:t>5.5环境风险识别</w:t>
      </w:r>
      <w:bookmarkEnd w:id="75"/>
      <w:bookmarkEnd w:id="76"/>
    </w:p>
    <w:p>
      <w:pPr>
        <w:widowControl/>
        <w:spacing w:line="360" w:lineRule="auto"/>
        <w:ind w:firstLine="480" w:firstLineChars="200"/>
        <w:jc w:val="left"/>
        <w:rPr>
          <w:rFonts w:hint="default" w:ascii="Times New Roman" w:hAnsi="Times New Roman" w:cs="Times New Roman"/>
          <w:sz w:val="24"/>
          <w:szCs w:val="21"/>
        </w:rPr>
      </w:pPr>
      <w:r>
        <w:rPr>
          <w:rFonts w:hint="default" w:ascii="Times New Roman" w:hAnsi="Times New Roman" w:cs="Times New Roman"/>
          <w:sz w:val="24"/>
          <w:szCs w:val="21"/>
        </w:rPr>
        <w:t>项目风险识别的范围包括物质危险性识别、生产系统危险性识别和危险物质向环境转移的途径识别。</w:t>
      </w:r>
    </w:p>
    <w:p>
      <w:pPr>
        <w:widowControl/>
        <w:spacing w:line="360" w:lineRule="auto"/>
        <w:ind w:firstLine="480" w:firstLineChars="200"/>
        <w:jc w:val="left"/>
        <w:outlineLvl w:val="2"/>
        <w:rPr>
          <w:rFonts w:hint="default" w:ascii="Times New Roman" w:hAnsi="Times New Roman" w:cs="Times New Roman"/>
          <w:sz w:val="24"/>
          <w:szCs w:val="21"/>
        </w:rPr>
      </w:pPr>
      <w:bookmarkStart w:id="77" w:name="_Toc19036"/>
      <w:r>
        <w:rPr>
          <w:rFonts w:hint="default" w:ascii="Times New Roman" w:hAnsi="Times New Roman" w:cs="Times New Roman"/>
          <w:sz w:val="24"/>
          <w:szCs w:val="21"/>
        </w:rPr>
        <w:t>（1）物质风险识别</w:t>
      </w:r>
      <w:bookmarkEnd w:id="77"/>
    </w:p>
    <w:p>
      <w:pPr>
        <w:widowControl/>
        <w:spacing w:line="360" w:lineRule="auto"/>
        <w:ind w:firstLine="480" w:firstLineChars="200"/>
        <w:jc w:val="left"/>
        <w:rPr>
          <w:rFonts w:hint="default" w:ascii="Times New Roman" w:hAnsi="Times New Roman" w:cs="Times New Roman"/>
          <w:sz w:val="24"/>
          <w:szCs w:val="21"/>
        </w:rPr>
      </w:pPr>
      <w:r>
        <w:rPr>
          <w:rFonts w:hint="default" w:ascii="Times New Roman" w:hAnsi="Times New Roman" w:cs="Times New Roman"/>
          <w:sz w:val="24"/>
          <w:szCs w:val="21"/>
        </w:rPr>
        <w:t>包括主要原辅材料、燃料、中间产品、副产品、最终产品、污染物、火灾和爆炸伴生/次生物等。根据风险源调查，本项目涉及的风险物质主要为消毒药剂次氯酸钠的储存。次氯酸钠具腐蚀性，可致人体灼伤，受高热分解产生有毒的腐蚀性烟气，若储存不当会出现泄漏，污染空气及地下水。</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医疗废物是指医疗卫生机构在医疗、预防、保健以及其他相关活动中产生的具有直接或间接感染性、毒性以及其他危害的废物。医疗废物含有传染性的病原微生物、病菌和病毒，具有空间传染、急性传染和潜伏传染等毒性,其病毒细菌的危害性是生活垃圾的几十倍甚至上百倍。据武汉市环境卫生科学研究设计院的调查资料，医疗废物中的粪大肠菌群数和细菌总数分别高 0.83×10</w:t>
      </w:r>
      <w:r>
        <w:rPr>
          <w:rFonts w:hint="default" w:ascii="Times New Roman" w:hAnsi="Times New Roman" w:cs="Times New Roman"/>
          <w:sz w:val="24"/>
          <w:vertAlign w:val="superscript"/>
        </w:rPr>
        <w:t>10</w:t>
      </w:r>
      <w:r>
        <w:rPr>
          <w:rFonts w:hint="default" w:ascii="Times New Roman" w:hAnsi="Times New Roman" w:cs="Times New Roman"/>
          <w:sz w:val="24"/>
        </w:rPr>
        <w:t>个/L和8.1×10</w:t>
      </w:r>
      <w:r>
        <w:rPr>
          <w:rFonts w:hint="default" w:ascii="Times New Roman" w:hAnsi="Times New Roman" w:cs="Times New Roman"/>
          <w:sz w:val="24"/>
          <w:vertAlign w:val="superscript"/>
        </w:rPr>
        <w:t>10</w:t>
      </w:r>
      <w:r>
        <w:rPr>
          <w:rFonts w:hint="default" w:ascii="Times New Roman" w:hAnsi="Times New Roman" w:cs="Times New Roman"/>
          <w:sz w:val="24"/>
        </w:rPr>
        <w:t>个/L，乙型肝炎表面抗源阳性率可高达89%，对人体健康和环境均有极大的危害，在《控制危险废物越境转移及处置的巴塞尔公约》和我国的《国家危险废物名录》（2021年版）中，均将医疗废物列为危险废物。</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处理的医疗废物为感染性医疗废物和损伤性医疗废物，含有致病菌、病毒等，具有传染性、生物毒性，对医疗废物的疏忽管理，不仅会污染环境，造成大气、水体及土壤的污染，还可能会导致传染性疾病的流行，直接危害人体的健康，具体危害如下：物理危害，主要来自锐利的物品，如碎玻璃、注射器、一次性手术刀等，物理危害不限于它们自身的危害，而是入侵了人体的保护屏障，使各种病菌进入了人体。微生物危害，来自于被病毒污染了的物质，比如传染源的培养基和传染病人接触过的废物。</w:t>
      </w:r>
    </w:p>
    <w:p>
      <w:pPr>
        <w:widowControl/>
        <w:spacing w:line="360" w:lineRule="auto"/>
        <w:ind w:firstLine="480" w:firstLineChars="200"/>
        <w:jc w:val="left"/>
        <w:outlineLvl w:val="2"/>
        <w:rPr>
          <w:rFonts w:hint="default" w:ascii="Times New Roman" w:hAnsi="Times New Roman" w:cs="Times New Roman"/>
          <w:sz w:val="24"/>
          <w:szCs w:val="21"/>
        </w:rPr>
      </w:pPr>
      <w:bookmarkStart w:id="78" w:name="_Toc19708"/>
      <w:r>
        <w:rPr>
          <w:rFonts w:hint="default" w:ascii="Times New Roman" w:hAnsi="Times New Roman" w:cs="Times New Roman"/>
          <w:sz w:val="24"/>
          <w:szCs w:val="21"/>
        </w:rPr>
        <w:t>（2）生产设施风险识别</w:t>
      </w:r>
      <w:bookmarkEnd w:id="78"/>
    </w:p>
    <w:p>
      <w:pPr>
        <w:adjustRightInd w:val="0"/>
        <w:snapToGrid w:val="0"/>
        <w:spacing w:line="360" w:lineRule="auto"/>
        <w:ind w:firstLine="480" w:firstLineChars="200"/>
        <w:rPr>
          <w:rFonts w:hint="default" w:ascii="Times New Roman" w:hAnsi="Times New Roman" w:cs="Times New Roman"/>
          <w:sz w:val="24"/>
          <w:szCs w:val="21"/>
        </w:rPr>
      </w:pPr>
      <w:r>
        <w:rPr>
          <w:rFonts w:hint="default" w:ascii="Times New Roman" w:hAnsi="Times New Roman" w:cs="Times New Roman"/>
          <w:sz w:val="24"/>
          <w:szCs w:val="21"/>
        </w:rPr>
        <w:t>物资暂存库内次氯酸钠转运过程或污水处理加药系统出现故障导致次氯酸钠泄漏。</w:t>
      </w:r>
      <w:r>
        <w:rPr>
          <w:rFonts w:hint="default" w:ascii="Times New Roman" w:hAnsi="Times New Roman" w:cs="Times New Roman"/>
          <w:sz w:val="24"/>
        </w:rPr>
        <w:t>当</w:t>
      </w:r>
      <w:r>
        <w:rPr>
          <w:rFonts w:hint="eastAsia" w:ascii="Times New Roman" w:hAnsi="Times New Roman" w:cs="Times New Roman"/>
          <w:sz w:val="24"/>
          <w:lang w:val="en-US" w:eastAsia="zh-CN"/>
        </w:rPr>
        <w:t>高温蒸汽</w:t>
      </w:r>
      <w:r>
        <w:rPr>
          <w:rFonts w:hint="default" w:ascii="Times New Roman" w:hAnsi="Times New Roman" w:cs="Times New Roman"/>
          <w:sz w:val="24"/>
        </w:rPr>
        <w:t>消毒系统中废气处理设施出现故障时，</w:t>
      </w:r>
      <w:r>
        <w:rPr>
          <w:rFonts w:hint="eastAsia" w:ascii="Times New Roman" w:hAnsi="Times New Roman" w:cs="Times New Roman"/>
          <w:sz w:val="24"/>
          <w:lang w:val="en-US" w:eastAsia="zh-CN"/>
        </w:rPr>
        <w:t>高温蒸汽</w:t>
      </w:r>
      <w:r>
        <w:rPr>
          <w:rFonts w:hint="default" w:ascii="Times New Roman" w:hAnsi="Times New Roman" w:cs="Times New Roman"/>
          <w:sz w:val="24"/>
        </w:rPr>
        <w:t>消毒处理系统废气未经处理直接排放，废气中携带有大量的细菌、恶臭、非甲烷总烃、颗粒物等，感染性细菌、恶臭等废气将会随风传播出去，对人体健康造成危害。</w:t>
      </w:r>
    </w:p>
    <w:p>
      <w:pPr>
        <w:widowControl/>
        <w:spacing w:line="360" w:lineRule="auto"/>
        <w:ind w:firstLine="480" w:firstLineChars="200"/>
        <w:jc w:val="left"/>
        <w:outlineLvl w:val="2"/>
        <w:rPr>
          <w:rFonts w:hint="default" w:ascii="Times New Roman" w:hAnsi="Times New Roman" w:cs="Times New Roman"/>
          <w:sz w:val="24"/>
          <w:szCs w:val="21"/>
        </w:rPr>
      </w:pPr>
      <w:bookmarkStart w:id="79" w:name="_Toc12879"/>
      <w:r>
        <w:rPr>
          <w:rFonts w:hint="default" w:ascii="Times New Roman" w:hAnsi="Times New Roman" w:cs="Times New Roman"/>
          <w:sz w:val="24"/>
          <w:szCs w:val="21"/>
        </w:rPr>
        <w:t>（3）向环境转移的途径识别</w:t>
      </w:r>
      <w:bookmarkEnd w:id="79"/>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次氯酸钠泄漏污染大气、地下水、土壤。</w:t>
      </w:r>
    </w:p>
    <w:p>
      <w:pPr>
        <w:pStyle w:val="5"/>
        <w:spacing w:before="0" w:after="0" w:line="360" w:lineRule="auto"/>
        <w:rPr>
          <w:rFonts w:hint="eastAsia" w:ascii="Times New Roman" w:hAnsi="Times New Roman" w:eastAsia="宋体"/>
          <w:sz w:val="30"/>
          <w:szCs w:val="30"/>
        </w:rPr>
      </w:pPr>
      <w:bookmarkStart w:id="80" w:name="_Toc18138"/>
      <w:bookmarkStart w:id="81" w:name="_Toc27442"/>
      <w:r>
        <w:rPr>
          <w:rFonts w:hint="eastAsia" w:ascii="Times New Roman" w:hAnsi="Times New Roman" w:eastAsia="宋体"/>
          <w:sz w:val="30"/>
          <w:szCs w:val="30"/>
        </w:rPr>
        <w:t>5</w:t>
      </w:r>
      <w:r>
        <w:rPr>
          <w:rFonts w:ascii="Times New Roman" w:hAnsi="Times New Roman" w:eastAsia="宋体"/>
          <w:sz w:val="30"/>
          <w:szCs w:val="30"/>
        </w:rPr>
        <w:t>.</w:t>
      </w:r>
      <w:r>
        <w:rPr>
          <w:rFonts w:hint="eastAsia" w:ascii="Times New Roman" w:hAnsi="Times New Roman" w:eastAsia="宋体"/>
          <w:sz w:val="30"/>
          <w:szCs w:val="30"/>
        </w:rPr>
        <w:t>6环境风险分析</w:t>
      </w:r>
      <w:bookmarkEnd w:id="80"/>
      <w:bookmarkEnd w:id="81"/>
    </w:p>
    <w:p>
      <w:pPr>
        <w:spacing w:line="360" w:lineRule="auto"/>
        <w:ind w:firstLine="480" w:firstLineChars="200"/>
        <w:rPr>
          <w:rFonts w:hint="eastAsia" w:ascii="Times New Roman" w:hAnsi="Times New Roman" w:eastAsia="宋体" w:cs="Times New Roman"/>
          <w:sz w:val="24"/>
          <w:szCs w:val="24"/>
          <w:lang w:val="en-US" w:eastAsia="zh-CN"/>
        </w:rPr>
      </w:pPr>
      <w:r>
        <w:rPr>
          <w:kern w:val="0"/>
          <w:sz w:val="24"/>
          <w:szCs w:val="24"/>
        </w:rPr>
        <w:t>本项目环境风险主要为</w:t>
      </w:r>
      <w:r>
        <w:rPr>
          <w:rFonts w:hint="eastAsia"/>
          <w:kern w:val="0"/>
          <w:sz w:val="24"/>
          <w:szCs w:val="24"/>
        </w:rPr>
        <w:t>次氯酸钠</w:t>
      </w:r>
      <w:r>
        <w:rPr>
          <w:kern w:val="0"/>
          <w:sz w:val="24"/>
          <w:szCs w:val="24"/>
        </w:rPr>
        <w:t>发生泄漏</w:t>
      </w:r>
      <w:r>
        <w:rPr>
          <w:rFonts w:hint="eastAsia"/>
          <w:kern w:val="0"/>
          <w:sz w:val="24"/>
          <w:szCs w:val="24"/>
        </w:rPr>
        <w:t>、医疗废物遗撒风险，</w:t>
      </w:r>
      <w:r>
        <w:rPr>
          <w:kern w:val="0"/>
          <w:sz w:val="24"/>
          <w:szCs w:val="24"/>
        </w:rPr>
        <w:t>产生的废气通过空气进行扩散污染大气环境</w:t>
      </w:r>
      <w:r>
        <w:rPr>
          <w:rFonts w:hint="eastAsia"/>
          <w:kern w:val="0"/>
          <w:sz w:val="24"/>
          <w:szCs w:val="24"/>
        </w:rPr>
        <w:t>、</w:t>
      </w:r>
      <w:r>
        <w:rPr>
          <w:kern w:val="0"/>
          <w:sz w:val="24"/>
          <w:szCs w:val="24"/>
        </w:rPr>
        <w:t>地表径流的方式进入土壤、地下水影响周边环境</w:t>
      </w:r>
      <w:r>
        <w:rPr>
          <w:rFonts w:hint="eastAsia"/>
          <w:kern w:val="0"/>
          <w:sz w:val="24"/>
          <w:szCs w:val="24"/>
        </w:rPr>
        <w:t>。</w:t>
      </w:r>
    </w:p>
    <w:p>
      <w:pPr>
        <w:pStyle w:val="5"/>
        <w:spacing w:before="0" w:after="0" w:line="360" w:lineRule="auto"/>
        <w:rPr>
          <w:rFonts w:hint="default" w:ascii="Times New Roman" w:hAnsi="Times New Roman" w:eastAsia="宋体" w:cs="Times New Roman"/>
          <w:sz w:val="30"/>
          <w:szCs w:val="30"/>
        </w:rPr>
      </w:pPr>
      <w:bookmarkStart w:id="82" w:name="_Toc20309"/>
      <w:bookmarkStart w:id="83" w:name="_Toc13476"/>
      <w:r>
        <w:rPr>
          <w:rFonts w:hint="default" w:ascii="Times New Roman" w:hAnsi="Times New Roman" w:eastAsia="宋体" w:cs="Times New Roman"/>
          <w:sz w:val="30"/>
          <w:szCs w:val="30"/>
        </w:rPr>
        <w:t>5.7环境风险防范措施</w:t>
      </w:r>
      <w:bookmarkEnd w:id="82"/>
      <w:bookmarkEnd w:id="83"/>
    </w:p>
    <w:p>
      <w:pPr>
        <w:pStyle w:val="6"/>
        <w:spacing w:before="0" w:after="0" w:line="360" w:lineRule="auto"/>
        <w:rPr>
          <w:rFonts w:hint="default" w:ascii="Times New Roman" w:hAnsi="Times New Roman" w:cs="Times New Roman"/>
          <w:kern w:val="0"/>
          <w:sz w:val="28"/>
        </w:rPr>
      </w:pPr>
      <w:bookmarkStart w:id="84" w:name="_Toc14356"/>
      <w:bookmarkStart w:id="85" w:name="_Toc12266"/>
      <w:r>
        <w:rPr>
          <w:rFonts w:hint="default" w:ascii="Times New Roman" w:hAnsi="Times New Roman" w:cs="Times New Roman"/>
          <w:kern w:val="0"/>
          <w:sz w:val="28"/>
        </w:rPr>
        <w:t>5.7.1次氯酸钠环境风险防范措施</w:t>
      </w:r>
      <w:bookmarkEnd w:id="84"/>
      <w:bookmarkEnd w:id="85"/>
    </w:p>
    <w:p>
      <w:pPr>
        <w:widowControl/>
        <w:autoSpaceDE w:val="0"/>
        <w:autoSpaceDN w:val="0"/>
        <w:adjustRightInd w:val="0"/>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（1）次氯酸钠加药器采用密闭装置，并对管道设备的各种密封部位和阀门进行经常检查，防止液体泄漏。</w:t>
      </w:r>
    </w:p>
    <w:p>
      <w:pPr>
        <w:widowControl/>
        <w:autoSpaceDE w:val="0"/>
        <w:autoSpaceDN w:val="0"/>
        <w:adjustRightInd w:val="0"/>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（2）污水处理设施处理区采取重点防渗处理，消毒物资储存间内次氯酸钠储存区设置围堰。</w:t>
      </w:r>
    </w:p>
    <w:p>
      <w:pPr>
        <w:widowControl/>
        <w:autoSpaceDE w:val="0"/>
        <w:autoSpaceDN w:val="0"/>
        <w:adjustRightInd w:val="0"/>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（3）应定期对次氯酸钠加药器进行检查、维护，对达不到安全要求的设备应进行及时更换。保证发生器不受冲击、撞击。加强输气管道、阀门等设备的定期检查、维护及更换。</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kern w:val="0"/>
          <w:sz w:val="24"/>
          <w:szCs w:val="24"/>
        </w:rPr>
        <w:t>（4）应对相关工作人员进行上岗培训合格后方可进行发生器的操作。并安排专人定期对设备进行检查、维护及更换。项目应配备常规的检修器材、过滤式防毒面具及手套等以便应急救援时使用。有条件的应给巡检人员配备便携式有毒有害气体检测仪，或在次氯酸钠输送、使用地设置检测报警系统。</w:t>
      </w:r>
    </w:p>
    <w:p>
      <w:pPr>
        <w:pStyle w:val="6"/>
        <w:spacing w:before="0" w:after="0" w:line="360" w:lineRule="auto"/>
        <w:rPr>
          <w:rFonts w:hint="default" w:ascii="Times New Roman" w:hAnsi="Times New Roman" w:cs="Times New Roman"/>
          <w:kern w:val="0"/>
          <w:sz w:val="28"/>
        </w:rPr>
      </w:pPr>
      <w:bookmarkStart w:id="86" w:name="_Toc22195"/>
      <w:bookmarkStart w:id="87" w:name="_Toc23414"/>
      <w:r>
        <w:rPr>
          <w:rFonts w:hint="default" w:ascii="Times New Roman" w:hAnsi="Times New Roman" w:cs="Times New Roman"/>
          <w:kern w:val="0"/>
          <w:sz w:val="28"/>
        </w:rPr>
        <w:t>5.7.2医疗废物运输暂存风险防范措施</w:t>
      </w:r>
      <w:bookmarkEnd w:id="86"/>
      <w:bookmarkEnd w:id="87"/>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（1）医疗废物经产生机构进行密封包装后由封闭的周转箱、利器盒盛装，严格按 GB19217-2003《医疗废物转运车技术要求（试行）》要求配置转运车，转运车辆的车箱应能防止运输过程中医疗废物洒落，转运车辆应配有工具以便及时清除意外洒落的医疗废物，加强转运车维护；</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（2）加强人员培训，提高业务能力，规范运输人员操作；驾驶室与货箱完全隔开，保证驾驶员安全。</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（3）合理规划收运路线，尽量避让地表水及地下水丰富的区域，尽量避免或缩短车辆途经河流、学校、医院、政府部门等敏感目标的路程；</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（4）转运车辆文明驾驶、严禁超速、超载、避免急停急刹；车厢容积留有 1/4的空间不装载，以利于内部空气循环，便于消毒和冷藏降温。</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（5）依季节调整收集和运输时间，避免早晚交通高峰作业，运输车辆内配备应急收集工具，一旦发生医疗垃圾泄露，工作人员马上利用应急收集工具进行收集、消毒，避免医疗垃圾对道路及其他车辆产生影响；</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（6）医疗废物转运过程中，严格按照国家制定的</w:t>
      </w:r>
      <w:r>
        <w:rPr>
          <w:rFonts w:hint="default" w:ascii="Times New Roman" w:hAnsi="Times New Roman" w:cs="Times New Roman"/>
          <w:snapToGrid w:val="0"/>
          <w:color w:val="000000"/>
          <w:kern w:val="0"/>
          <w:sz w:val="24"/>
        </w:rPr>
        <w:t>《危险废物转移管理办法》</w:t>
      </w:r>
      <w:r>
        <w:rPr>
          <w:rFonts w:hint="default" w:ascii="Times New Roman" w:hAnsi="Times New Roman" w:cs="Times New Roman"/>
          <w:sz w:val="24"/>
        </w:rPr>
        <w:t>执行转移联单制度。</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（7）车厢内部表面，应采用防水、耐腐蚀、便于消毒清洗的材料，底部设置良好气密性的排水孔。</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sz w:val="24"/>
        </w:rPr>
        <w:t>（8）医废在收集运送过程中当发生翻车、撞车事故导致医疗废物大量溢出、散落时，运送人员应立即向本单位应急事故小组取得联系，请求当地公安交警、生态环境主管部门或城市应急联动中心的支持。同时，运送人员应采取下述应急措施：立即请求公安交通警察在受污染地区设立隔离区，禁止其他车辆和行人穿过，避免污染物扩散和对行人造成伤害；对溢出、散落的医疗废物迅速进行收集、清理和消毒处理。对于液体溢出物采用吸附材料吸收处理、消毒；清理人员在进行清理工作时须穿戴防护服、手套、口罩、靴等防护用品，清理工作结束后，用具和防护用品均须进行消毒处理；如果在操作中，清理人员的身体（皮肤）不慎受到伤害，应及时采取处理措施，并到医院接受救治；清洁人员还须对被污染的现场地面进行消毒和清洁处理；医疗废物若散落于水中，应根据河流的具体情况，及时通知水利部门、生态环境主管部门、公安部门、卫生部门、航道部门、河流下游的自来水厂、医疗废物处理中心等单位，采取措施防止受污染的水影响沿线居民身体健康和财产损失。对发生的事故采取上述应急措施的同时，处置单位必须向当地环保和卫生部门报告事故发生情况。事故处理完毕后，处置单位要向上述部门写出书面报告，描述事故发生的时间、地点、泄漏散落医疗废物的类型和数量、受污染的原因及医疗废物产生单位名称、已造成的危害和潜在影响及已采取的应急处理措施和处理结果</w:t>
      </w:r>
      <w:r>
        <w:rPr>
          <w:rFonts w:hint="default" w:ascii="Times New Roman" w:hAnsi="Times New Roman" w:cs="Times New Roman"/>
          <w:color w:val="000000"/>
        </w:rPr>
        <w:t>。</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rPr>
        <w:t>（9）医疗废物卸料场地（冷库）的设计、运行、安全防护等应满足《危险废物贮存污染控制标准》和《医疗卫生机构医疗废物管理办法》的有关要求。医疗废物卸料和贮存设施属感染区，应配备隔离设施、报警装置和防风、防晒、防雨设施，并按照相关规定设置警示标志。贮存设施应采用全封闭、微负压设计，并应设置事故排风系统或设施，抽出的气体应通过处理达标后排放；地面和墙面应进行防渗防腐处理，地面应具有良好的排水性能，产生的废水可采用暗沟、管网直接排入污水处理设施。医疗废物卸料区（冷库）应采取防渗漏、防腐、防鼠、防鸟、防蚊蝇、防蟑螂、防盜等措施。</w:t>
      </w:r>
    </w:p>
    <w:p>
      <w:pPr>
        <w:pStyle w:val="6"/>
        <w:spacing w:before="0" w:after="0" w:line="360" w:lineRule="auto"/>
        <w:rPr>
          <w:rFonts w:hint="default" w:ascii="Times New Roman" w:hAnsi="Times New Roman" w:cs="Times New Roman"/>
          <w:kern w:val="0"/>
          <w:sz w:val="24"/>
          <w:szCs w:val="24"/>
        </w:rPr>
      </w:pPr>
      <w:bookmarkStart w:id="88" w:name="_Toc4593"/>
      <w:bookmarkStart w:id="89" w:name="_Toc439257884"/>
      <w:bookmarkStart w:id="90" w:name="_Toc21545"/>
      <w:r>
        <w:rPr>
          <w:rFonts w:hint="default" w:ascii="Times New Roman" w:hAnsi="Times New Roman" w:cs="Times New Roman"/>
          <w:kern w:val="0"/>
          <w:sz w:val="24"/>
          <w:szCs w:val="24"/>
        </w:rPr>
        <w:t>5.7.3医疗废物处置过程中风险防范及应急措施</w:t>
      </w:r>
      <w:bookmarkEnd w:id="88"/>
      <w:bookmarkEnd w:id="89"/>
      <w:bookmarkEnd w:id="90"/>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高温蒸汽</w:t>
      </w:r>
      <w:r>
        <w:rPr>
          <w:rFonts w:hint="default" w:ascii="Times New Roman" w:hAnsi="Times New Roman" w:cs="Times New Roman"/>
          <w:sz w:val="24"/>
          <w:szCs w:val="24"/>
        </w:rPr>
        <w:t>消毒只能处理感染性废物、损伤性废物，对于不适于本工艺处理的医废坚决不能进入处理中心。</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（2）配备双回路电源，并配备自动切换装置，防止停电时生产车间有害气体外逸、保证冷库的温度控制需要。</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（3）定期对医疗废物处置设备各部件进行定期维护，减少机械设备故障率。</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设置备用风机和泵类，设备损坏和污染治理措施失效时立即停产，及时抢修。</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（4）直接从事医废处置的所有员工和生产管理人员必须经相应岗位技能、技术、医疗废物特性和防护知识培训，持证上岗。操作人员必须严格执行操作规程和岗位责任制。</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（5）若破碎设备堵塞， 立即停产、断开设备电源，及时进行抢修。操作人员应当佩戴规定的个人防护装备。操作者至少要戴橡胶或医用手套，最好用皮革或穿刺防护手套，特别注意避免发生与医疗废物直接接触。</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（6）若消毒过程中设备突然停止，关闭</w:t>
      </w:r>
      <w:r>
        <w:rPr>
          <w:rFonts w:hint="eastAsia" w:ascii="Times New Roman" w:hAnsi="Times New Roman" w:cs="Times New Roman"/>
          <w:sz w:val="24"/>
          <w:szCs w:val="24"/>
          <w:lang w:val="en-US" w:eastAsia="zh-CN"/>
        </w:rPr>
        <w:t>蒸汽</w:t>
      </w:r>
      <w:r>
        <w:rPr>
          <w:rFonts w:hint="default" w:ascii="Times New Roman" w:hAnsi="Times New Roman" w:cs="Times New Roman"/>
          <w:sz w:val="24"/>
          <w:szCs w:val="24"/>
        </w:rPr>
        <w:t>发生器，检查设备可能的故障点，断开电源，进行维修。设备恢复正常后必须对设备里的医废消毒残渣重新消毒处理达标。</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（7）若医疗废物</w:t>
      </w:r>
      <w:r>
        <w:rPr>
          <w:rFonts w:hint="eastAsia" w:ascii="Times New Roman" w:hAnsi="Times New Roman" w:cs="Times New Roman"/>
          <w:sz w:val="24"/>
          <w:szCs w:val="24"/>
          <w:lang w:val="en-US" w:eastAsia="zh-CN"/>
        </w:rPr>
        <w:t>高温蒸汽</w:t>
      </w:r>
      <w:r>
        <w:rPr>
          <w:rFonts w:hint="default" w:ascii="Times New Roman" w:hAnsi="Times New Roman" w:cs="Times New Roman"/>
          <w:sz w:val="24"/>
          <w:szCs w:val="24"/>
        </w:rPr>
        <w:t>消毒处理系统故障不能正常运行，收集来的医废暂存在项目区医废冷库（贮存温度≤5℃）存放时间不能超过72h。</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8）设备在安装及检修后必须经国家生态环境部认可的检测单位，采用生物学方法对处理后残渣进行消毒效果检测，合格后方可运行。在运行过程中，定期委托具有相应能力或资质的单位开展消毒处理效果检测，频率不少于1次/季度。</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（9）应定期对</w:t>
      </w:r>
      <w:r>
        <w:rPr>
          <w:rFonts w:hint="eastAsia" w:ascii="Times New Roman" w:hAnsi="Times New Roman" w:cs="Times New Roman"/>
          <w:sz w:val="24"/>
          <w:szCs w:val="24"/>
          <w:lang w:val="en-US" w:eastAsia="zh-CN"/>
        </w:rPr>
        <w:t>高温蒸汽</w:t>
      </w:r>
      <w:r>
        <w:rPr>
          <w:rFonts w:hint="default" w:ascii="Times New Roman" w:hAnsi="Times New Roman" w:cs="Times New Roman"/>
          <w:sz w:val="24"/>
          <w:szCs w:val="24"/>
        </w:rPr>
        <w:t>消毒处理设施、设备运行及安全状况进行检测和评估，消除安全隐患。</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（10）因设备故障造成消毒效果不合格时，必须对医废残渣进行重新消毒处理。</w:t>
      </w:r>
    </w:p>
    <w:p>
      <w:pPr>
        <w:pStyle w:val="34"/>
        <w:rPr>
          <w:rFonts w:hint="default" w:ascii="Times New Roman" w:hAnsi="Times New Roman" w:cs="Times New Roman"/>
          <w:sz w:val="24"/>
          <w:szCs w:val="24"/>
        </w:rPr>
      </w:pPr>
      <w:r>
        <w:rPr>
          <w:rFonts w:hint="default" w:ascii="Times New Roman" w:hAnsi="Times New Roman" w:cs="Times New Roman"/>
          <w:sz w:val="24"/>
          <w:szCs w:val="24"/>
        </w:rPr>
        <w:t xml:space="preserve">（11）禁止将不合格的医废残渣送往生活垃圾处理厂。 </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（12）重大传染病疫情期间应检测GB18466中规定的传染病、结核病医疗机构水污染物排放指标或疫情期间要求检测的相关指标，并执行相应限值要求。</w:t>
      </w:r>
    </w:p>
    <w:p>
      <w:pPr>
        <w:pStyle w:val="6"/>
        <w:spacing w:before="0" w:after="0" w:line="360" w:lineRule="auto"/>
        <w:rPr>
          <w:rFonts w:hint="default" w:ascii="Times New Roman" w:hAnsi="Times New Roman" w:cs="Times New Roman"/>
          <w:kern w:val="0"/>
          <w:sz w:val="28"/>
        </w:rPr>
      </w:pPr>
      <w:bookmarkStart w:id="91" w:name="_Toc30169"/>
      <w:bookmarkStart w:id="92" w:name="_Toc15807"/>
      <w:r>
        <w:rPr>
          <w:rFonts w:hint="default" w:ascii="Times New Roman" w:hAnsi="Times New Roman" w:cs="Times New Roman"/>
          <w:kern w:val="0"/>
          <w:sz w:val="28"/>
        </w:rPr>
        <w:t>5.7.4环保设施事故风险防治措施</w:t>
      </w:r>
      <w:bookmarkEnd w:id="91"/>
      <w:bookmarkEnd w:id="92"/>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（1）废气事故排放影响分析</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sz w:val="24"/>
        </w:rPr>
        <w:t>当</w:t>
      </w:r>
      <w:r>
        <w:rPr>
          <w:rFonts w:hint="eastAsia" w:ascii="Times New Roman" w:hAnsi="Times New Roman" w:cs="Times New Roman"/>
          <w:sz w:val="24"/>
          <w:lang w:val="en-US" w:eastAsia="zh-CN"/>
        </w:rPr>
        <w:t>高温蒸汽</w:t>
      </w:r>
      <w:r>
        <w:rPr>
          <w:rFonts w:hint="default" w:ascii="Times New Roman" w:hAnsi="Times New Roman" w:cs="Times New Roman"/>
          <w:sz w:val="24"/>
        </w:rPr>
        <w:t>消毒系统中废气处理设</w:t>
      </w:r>
      <w:r>
        <w:rPr>
          <w:rFonts w:hint="default" w:ascii="Times New Roman" w:hAnsi="Times New Roman" w:cs="Times New Roman"/>
          <w:color w:val="000000"/>
          <w:sz w:val="24"/>
        </w:rPr>
        <w:t>施出现故障时，应立即停止医疗废物处置设施，并将医疗废物暂存于冷库内，待修复废气处理设施后方可继续处置，同时为防范废气处理设施发生故障，应定期进行检查。</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（2）污水处理系统故障分析</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sz w:val="24"/>
        </w:rPr>
        <w:t>项目建成后废水水质简单，但由于含有一定的细菌，污水处理设施一旦出现故障，会造成污废水未经处理直</w:t>
      </w:r>
      <w:r>
        <w:rPr>
          <w:rFonts w:hint="default" w:ascii="Times New Roman" w:hAnsi="Times New Roman" w:cs="Times New Roman"/>
          <w:color w:val="auto"/>
          <w:sz w:val="24"/>
        </w:rPr>
        <w:t>接排放事故，因此建设单位建设一座</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0m</w:t>
      </w:r>
      <w:r>
        <w:rPr>
          <w:rFonts w:hint="default" w:ascii="Times New Roman" w:hAnsi="Times New Roman" w:cs="Times New Roman"/>
          <w:color w:val="auto"/>
          <w:sz w:val="24"/>
          <w:vertAlign w:val="superscript"/>
        </w:rPr>
        <w:t>3</w:t>
      </w:r>
      <w:r>
        <w:rPr>
          <w:rFonts w:hint="eastAsia" w:ascii="Times New Roman" w:hAnsi="Times New Roman" w:cs="Times New Roman"/>
          <w:color w:val="auto"/>
          <w:sz w:val="24"/>
          <w:lang w:val="en-US" w:eastAsia="zh-CN"/>
        </w:rPr>
        <w:t>玻璃钢污水罐</w:t>
      </w:r>
      <w:r>
        <w:rPr>
          <w:rFonts w:hint="default" w:ascii="Times New Roman" w:hAnsi="Times New Roman" w:cs="Times New Roman"/>
          <w:color w:val="auto"/>
          <w:sz w:val="24"/>
        </w:rPr>
        <w:t>用于收集事故废水，废水</w:t>
      </w:r>
      <w:r>
        <w:rPr>
          <w:rFonts w:hint="eastAsia" w:ascii="Times New Roman" w:hAnsi="Times New Roman" w:cs="Times New Roman"/>
          <w:color w:val="auto"/>
          <w:sz w:val="24"/>
          <w:lang w:val="en-US" w:eastAsia="zh-CN"/>
        </w:rPr>
        <w:t>最大</w:t>
      </w:r>
      <w:r>
        <w:rPr>
          <w:rFonts w:hint="default" w:ascii="Times New Roman" w:hAnsi="Times New Roman" w:cs="Times New Roman"/>
          <w:color w:val="auto"/>
          <w:sz w:val="24"/>
        </w:rPr>
        <w:t>产生量为</w:t>
      </w:r>
      <w:r>
        <w:rPr>
          <w:rFonts w:hint="eastAsia" w:ascii="Times New Roman" w:hAnsi="Times New Roman" w:cs="Times New Roman"/>
          <w:color w:val="auto"/>
          <w:sz w:val="24"/>
          <w:lang w:val="en-US" w:eastAsia="zh-CN"/>
        </w:rPr>
        <w:t>3.44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/d，因此</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0m</w:t>
      </w:r>
      <w:r>
        <w:rPr>
          <w:rFonts w:hint="default" w:ascii="Times New Roman" w:hAnsi="Times New Roman" w:cs="Times New Roman"/>
          <w:color w:val="auto"/>
          <w:sz w:val="24"/>
          <w:vertAlign w:val="superscript"/>
        </w:rPr>
        <w:t>3</w:t>
      </w:r>
      <w:r>
        <w:rPr>
          <w:rFonts w:hint="eastAsia" w:ascii="Times New Roman" w:hAnsi="Times New Roman" w:cs="Times New Roman"/>
          <w:color w:val="auto"/>
          <w:sz w:val="24"/>
          <w:lang w:val="en-US" w:eastAsia="zh-CN"/>
        </w:rPr>
        <w:t>玻璃钢污水罐</w:t>
      </w:r>
      <w:r>
        <w:rPr>
          <w:rFonts w:hint="default" w:ascii="Times New Roman" w:hAnsi="Times New Roman" w:cs="Times New Roman"/>
          <w:color w:val="auto"/>
          <w:sz w:val="24"/>
        </w:rPr>
        <w:t>（初期雨水收集兼事故</w:t>
      </w:r>
      <w:r>
        <w:rPr>
          <w:rFonts w:hint="eastAsia" w:ascii="Times New Roman" w:hAnsi="Times New Roman" w:cs="Times New Roman"/>
          <w:color w:val="auto"/>
          <w:sz w:val="24"/>
          <w:lang w:val="en-US" w:eastAsia="zh-CN"/>
        </w:rPr>
        <w:t>废水收集</w:t>
      </w:r>
      <w:r>
        <w:rPr>
          <w:rFonts w:hint="default" w:ascii="Times New Roman" w:hAnsi="Times New Roman" w:cs="Times New Roman"/>
          <w:color w:val="auto"/>
          <w:sz w:val="24"/>
        </w:rPr>
        <w:t>）可满足事故废水收集需求，待污水处理</w:t>
      </w:r>
      <w:r>
        <w:rPr>
          <w:rFonts w:hint="default" w:ascii="Times New Roman" w:hAnsi="Times New Roman" w:cs="Times New Roman"/>
          <w:color w:val="000000"/>
          <w:sz w:val="24"/>
        </w:rPr>
        <w:t>设施修复后将</w:t>
      </w:r>
      <w:r>
        <w:rPr>
          <w:rFonts w:hint="eastAsia" w:ascii="Times New Roman" w:hAnsi="Times New Roman" w:cs="Times New Roman"/>
          <w:color w:val="000000"/>
          <w:sz w:val="24"/>
          <w:lang w:val="en-US" w:eastAsia="zh-CN"/>
        </w:rPr>
        <w:t>玻璃钢污水罐</w:t>
      </w:r>
      <w:r>
        <w:rPr>
          <w:rFonts w:hint="default" w:ascii="Times New Roman" w:hAnsi="Times New Roman" w:cs="Times New Roman"/>
          <w:color w:val="000000"/>
          <w:sz w:val="24"/>
        </w:rPr>
        <w:t>中废水输送至污水处理设施处理，杜绝污水事故排放，</w:t>
      </w:r>
      <w:r>
        <w:rPr>
          <w:rFonts w:hint="eastAsia" w:ascii="Times New Roman" w:hAnsi="Times New Roman" w:cs="Times New Roman"/>
          <w:color w:val="000000"/>
          <w:sz w:val="24"/>
          <w:lang w:val="en-US" w:eastAsia="zh-CN"/>
        </w:rPr>
        <w:t>污水罐区</w:t>
      </w:r>
      <w:r>
        <w:rPr>
          <w:rFonts w:hint="default" w:ascii="Times New Roman" w:hAnsi="Times New Roman" w:cs="Times New Roman"/>
          <w:color w:val="000000"/>
          <w:sz w:val="24"/>
        </w:rPr>
        <w:t>采取重点防渗措施。</w:t>
      </w:r>
    </w:p>
    <w:p>
      <w:pPr>
        <w:pStyle w:val="6"/>
        <w:spacing w:before="0" w:after="0" w:line="360" w:lineRule="auto"/>
        <w:rPr>
          <w:rFonts w:hint="default" w:ascii="Times New Roman" w:hAnsi="Times New Roman" w:cs="Times New Roman"/>
          <w:color w:val="000000"/>
          <w:kern w:val="0"/>
          <w:sz w:val="28"/>
        </w:rPr>
      </w:pPr>
      <w:bookmarkStart w:id="93" w:name="_Toc14443"/>
      <w:bookmarkStart w:id="94" w:name="_Toc29918"/>
      <w:r>
        <w:rPr>
          <w:rFonts w:hint="default" w:ascii="Times New Roman" w:hAnsi="Times New Roman" w:cs="Times New Roman"/>
          <w:color w:val="000000"/>
          <w:kern w:val="0"/>
          <w:sz w:val="28"/>
        </w:rPr>
        <w:t>5.7.5环境风险应急预案</w:t>
      </w:r>
      <w:bookmarkEnd w:id="93"/>
      <w:bookmarkEnd w:id="94"/>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rPr>
        <w:t>环境应急预案，是指企业为了在应对各类事故、自然灾害时，采取紧急措施，避免或最大程度减少污染物或其他有毒有害物质进入厂界外大气、水体、土壤等环境介质，而预先制定的工作方案。建设单位应根据《国家突发环境事件应急预案》（国办函〔2014〕119号）、《企业事业单位突发环境事件应急预案备案管理办法（试行）》（环发〔2015〕4号）、《企业突发环境事件风险分级方法》（HJ 941-2018）要求，制定和完善突发环境事件应急预案。应急预案主要包括预案适用范围、环境事件分类与分级、组织机构与职责、监控和预警、应急响应、应急保障、善后处理、预案管理与演练等内容。相关风险防范要求和应急措施应纳入预案，做好与地方政府及其相关部门等相关应急预案的衔接和联动。应急预案应当在建设项目投入生产或者使用前，向建设项目所在地受理部门备案。严格落实备案后的应急预案，按规定开展必要的培训、宣传和演练，适时进行修订与完善。一旦发生突发环境事件，应立即启动相关预案，妥善应对</w:t>
      </w:r>
      <w:r>
        <w:rPr>
          <w:sz w:val="24"/>
        </w:rPr>
        <w:t>。</w:t>
      </w:r>
    </w:p>
    <w:p>
      <w:pPr>
        <w:pStyle w:val="5"/>
        <w:spacing w:before="0" w:after="0" w:line="360" w:lineRule="auto"/>
        <w:rPr>
          <w:rFonts w:ascii="Times New Roman" w:hAnsi="Times New Roman" w:eastAsia="宋体"/>
          <w:sz w:val="30"/>
          <w:szCs w:val="30"/>
        </w:rPr>
      </w:pPr>
      <w:bookmarkStart w:id="95" w:name="_Toc22599"/>
      <w:bookmarkStart w:id="96" w:name="_Toc26376"/>
      <w:r>
        <w:rPr>
          <w:rFonts w:hint="eastAsia" w:ascii="Times New Roman" w:hAnsi="Times New Roman" w:eastAsia="宋体"/>
          <w:sz w:val="30"/>
          <w:szCs w:val="30"/>
        </w:rPr>
        <w:t>5.8</w:t>
      </w:r>
      <w:r>
        <w:rPr>
          <w:rFonts w:ascii="Times New Roman" w:hAnsi="Times New Roman" w:eastAsia="宋体"/>
          <w:sz w:val="30"/>
          <w:szCs w:val="30"/>
        </w:rPr>
        <w:t>环境风险评价结论</w:t>
      </w:r>
      <w:bookmarkEnd w:id="95"/>
      <w:bookmarkEnd w:id="96"/>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sz w:val="24"/>
          <w:szCs w:val="21"/>
        </w:rPr>
        <w:t>由分析可知，本项目环境风险为次氯酸钠使用和储存过程发生的泄露，医疗废物运输、储存、处置过程发生遗撒、环保设备故障等。本次评价中针对可能发生的事故原因设置可较为完善的风险防范措施，可有效的对风险事故进行最大限度的防范和有效处理，同时结合企业对风险防范措施的不断完善和改进，项目发生的环境风险事故的概率将进一步降低。采取本环评提出的防范措施后，评价认为本项目的环境风险事故处于可接受水平</w:t>
      </w:r>
      <w:r>
        <w:rPr>
          <w:sz w:val="24"/>
          <w:szCs w:val="21"/>
        </w:rPr>
        <w:t>。</w:t>
      </w:r>
    </w:p>
    <w:p>
      <w:pPr>
        <w:widowControl/>
        <w:spacing w:line="360" w:lineRule="auto"/>
        <w:ind w:firstLine="480" w:firstLineChars="200"/>
        <w:jc w:val="left"/>
        <w:rPr>
          <w:rFonts w:hint="default" w:ascii="Times New Roman" w:hAnsi="Times New Roman" w:cs="Times New Roman"/>
          <w:sz w:val="24"/>
          <w:szCs w:val="21"/>
        </w:rPr>
      </w:pPr>
      <w:r>
        <w:rPr>
          <w:rFonts w:hint="default" w:ascii="Times New Roman" w:hAnsi="Times New Roman" w:cs="Times New Roman"/>
          <w:sz w:val="24"/>
          <w:szCs w:val="21"/>
        </w:rPr>
        <w:t>建设项目环境风险简单分析内容见表5.8-1。</w:t>
      </w:r>
    </w:p>
    <w:p>
      <w:pPr>
        <w:widowControl/>
        <w:jc w:val="center"/>
        <w:rPr>
          <w:rFonts w:hint="default" w:ascii="Times New Roman" w:hAnsi="Times New Roman" w:cs="Times New Roman"/>
          <w:b/>
          <w:bCs/>
          <w:szCs w:val="18"/>
        </w:rPr>
      </w:pPr>
      <w:r>
        <w:rPr>
          <w:rFonts w:hint="default" w:ascii="Times New Roman" w:hAnsi="Times New Roman" w:cs="Times New Roman"/>
          <w:b/>
          <w:bCs/>
          <w:szCs w:val="18"/>
        </w:rPr>
        <w:t>表5.8-1    建设项目环境风险简单分析内容表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1407"/>
        <w:gridCol w:w="1481"/>
        <w:gridCol w:w="1207"/>
        <w:gridCol w:w="2032"/>
        <w:gridCol w:w="9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9" w:type="pct"/>
            <w:noWrap w:val="0"/>
            <w:vAlign w:val="center"/>
          </w:tcPr>
          <w:p>
            <w:pPr>
              <w:jc w:val="center"/>
              <w:rPr>
                <w:rFonts w:hint="default" w:ascii="Times New Roman" w:hAnsi="Times New Roman" w:cs="Times New Roman"/>
                <w:color w:val="000000"/>
                <w:szCs w:val="21"/>
              </w:rPr>
            </w:pPr>
            <w:bookmarkStart w:id="97" w:name="_Hlk34128591"/>
            <w:r>
              <w:rPr>
                <w:rFonts w:hint="default" w:ascii="Times New Roman" w:hAnsi="Times New Roman" w:cs="Times New Roman"/>
                <w:color w:val="000000"/>
                <w:szCs w:val="21"/>
              </w:rPr>
              <w:t>项目名称</w:t>
            </w:r>
          </w:p>
        </w:tc>
        <w:tc>
          <w:tcPr>
            <w:tcW w:w="4170" w:type="pct"/>
            <w:gridSpan w:val="5"/>
            <w:noWrap w:val="0"/>
            <w:vAlign w:val="center"/>
          </w:tcPr>
          <w:p>
            <w:pPr>
              <w:jc w:val="center"/>
              <w:rPr>
                <w:rFonts w:hint="default" w:ascii="Times New Roman" w:hAnsi="Times New Roman" w:cs="Times New Roman"/>
                <w:color w:val="000000"/>
                <w:szCs w:val="21"/>
              </w:rPr>
            </w:pPr>
            <w:r>
              <w:rPr>
                <w:rFonts w:hint="eastAsia" w:ascii="Times New Roman" w:hAnsi="Times New Roman" w:cs="Times New Roman"/>
                <w:color w:val="000000"/>
                <w:szCs w:val="21"/>
                <w:lang w:val="en-US" w:eastAsia="zh-CN"/>
              </w:rPr>
              <w:t>阿尔山市医疗废物处置</w:t>
            </w:r>
            <w:r>
              <w:rPr>
                <w:rFonts w:hint="default" w:ascii="Times New Roman" w:hAnsi="Times New Roman" w:cs="Times New Roman"/>
                <w:color w:val="000000"/>
                <w:szCs w:val="21"/>
              </w:rPr>
              <w:t>中心建设项目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9" w:type="pc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建设地点</w:t>
            </w:r>
          </w:p>
        </w:tc>
        <w:tc>
          <w:tcPr>
            <w:tcW w:w="833" w:type="pc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（内蒙古）省</w:t>
            </w:r>
          </w:p>
        </w:tc>
        <w:tc>
          <w:tcPr>
            <w:tcW w:w="833" w:type="pc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r>
              <w:rPr>
                <w:rFonts w:hint="eastAsia" w:ascii="Times New Roman" w:hAnsi="Times New Roman" w:cs="Times New Roman"/>
                <w:color w:val="000000"/>
                <w:szCs w:val="21"/>
                <w:lang w:val="en-US" w:eastAsia="zh-CN"/>
              </w:rPr>
              <w:t>兴安盟</w:t>
            </w:r>
            <w:r>
              <w:rPr>
                <w:rFonts w:hint="default" w:ascii="Times New Roman" w:hAnsi="Times New Roman" w:cs="Times New Roman"/>
                <w:color w:val="000000"/>
                <w:szCs w:val="21"/>
              </w:rPr>
              <w:t>）市</w:t>
            </w:r>
          </w:p>
        </w:tc>
        <w:tc>
          <w:tcPr>
            <w:tcW w:w="715" w:type="pc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r>
              <w:rPr>
                <w:rFonts w:hint="eastAsia" w:ascii="Times New Roman" w:hAnsi="Times New Roman" w:cs="Times New Roman"/>
                <w:color w:val="000000"/>
                <w:szCs w:val="21"/>
                <w:lang w:val="en-US" w:eastAsia="zh-CN"/>
              </w:rPr>
              <w:t>阿尔山市</w:t>
            </w:r>
            <w:r>
              <w:rPr>
                <w:rFonts w:hint="default" w:ascii="Times New Roman" w:hAnsi="Times New Roman" w:cs="Times New Roman"/>
                <w:color w:val="000000"/>
                <w:szCs w:val="21"/>
              </w:rPr>
              <w:t>）区</w:t>
            </w:r>
          </w:p>
        </w:tc>
        <w:tc>
          <w:tcPr>
            <w:tcW w:w="1199" w:type="pc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r>
              <w:rPr>
                <w:rFonts w:hint="eastAsia" w:ascii="Times New Roman" w:hAnsi="Times New Roman" w:cs="Times New Roman"/>
                <w:color w:val="000000"/>
                <w:szCs w:val="21"/>
                <w:lang w:val="en-US" w:eastAsia="zh-CN"/>
              </w:rPr>
              <w:t>阿尔山生活垃圾处理工程</w:t>
            </w:r>
            <w:r>
              <w:rPr>
                <w:rFonts w:hint="default" w:ascii="Times New Roman" w:hAnsi="Times New Roman" w:cs="Times New Roman"/>
                <w:color w:val="000000"/>
                <w:szCs w:val="21"/>
              </w:rPr>
              <w:t>西侧）</w:t>
            </w:r>
          </w:p>
        </w:tc>
        <w:tc>
          <w:tcPr>
            <w:tcW w:w="589" w:type="pc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9" w:type="pc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地理坐标</w:t>
            </w:r>
          </w:p>
        </w:tc>
        <w:tc>
          <w:tcPr>
            <w:tcW w:w="833" w:type="pct"/>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经度</w:t>
            </w:r>
          </w:p>
        </w:tc>
        <w:tc>
          <w:tcPr>
            <w:tcW w:w="833" w:type="pct"/>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11</w:t>
            </w:r>
            <w:r>
              <w:rPr>
                <w:rFonts w:hint="default" w:ascii="Times New Roman" w:hAnsi="Times New Roman" w:cs="Times New Roman"/>
                <w:color w:val="000000"/>
                <w:sz w:val="21"/>
                <w:szCs w:val="21"/>
                <w:lang w:val="en-US" w:eastAsia="zh-CN"/>
              </w:rPr>
              <w:t>9</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4859.105</w:t>
            </w:r>
            <w:r>
              <w:rPr>
                <w:rFonts w:hint="default" w:ascii="Times New Roman" w:hAnsi="Times New Roman" w:cs="Times New Roman"/>
                <w:color w:val="000000"/>
                <w:sz w:val="21"/>
                <w:szCs w:val="21"/>
              </w:rPr>
              <w:t>"</w:t>
            </w:r>
          </w:p>
        </w:tc>
        <w:tc>
          <w:tcPr>
            <w:tcW w:w="715" w:type="pct"/>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纬度</w:t>
            </w:r>
          </w:p>
        </w:tc>
        <w:tc>
          <w:tcPr>
            <w:tcW w:w="1788" w:type="pct"/>
            <w:gridSpan w:val="2"/>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47</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14</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37.795</w:t>
            </w:r>
            <w:r>
              <w:rPr>
                <w:rFonts w:hint="default" w:ascii="Times New Roman" w:hAnsi="Times New Roman" w:cs="Times New Roman"/>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9" w:type="pc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主要危险物质及分布</w:t>
            </w:r>
          </w:p>
        </w:tc>
        <w:tc>
          <w:tcPr>
            <w:tcW w:w="4170" w:type="pct"/>
            <w:gridSpan w:val="5"/>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本项目涉及到的危险物质为次氯酸钠、医疗废物，消毒物资暂存间、冷库及</w:t>
            </w:r>
            <w:r>
              <w:rPr>
                <w:rFonts w:hint="eastAsia" w:ascii="Times New Roman" w:hAnsi="Times New Roman" w:cs="Times New Roman"/>
                <w:color w:val="000000"/>
                <w:szCs w:val="21"/>
                <w:lang w:val="en-US" w:eastAsia="zh-CN"/>
              </w:rPr>
              <w:t>高温蒸汽消毒</w:t>
            </w:r>
            <w:r>
              <w:rPr>
                <w:rFonts w:hint="default" w:ascii="Times New Roman" w:hAnsi="Times New Roman" w:cs="Times New Roman"/>
                <w:color w:val="000000"/>
                <w:szCs w:val="21"/>
              </w:rPr>
              <w:t>处理系统。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9" w:type="pc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环境影响途径及危害后果（大气、地表水、地下水等）</w:t>
            </w:r>
          </w:p>
        </w:tc>
        <w:tc>
          <w:tcPr>
            <w:tcW w:w="4170" w:type="pct"/>
            <w:gridSpan w:val="5"/>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本项目环境风险主要为次氯酸钠发生泄漏、医疗废物遗撒、废气废水处理设施故障，产生的废气通过空气进行扩散污染大气环境；通地表径流的方式进入土壤、地下水影响周边环境。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9" w:type="pc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风险防范措施要求</w:t>
            </w:r>
          </w:p>
        </w:tc>
        <w:tc>
          <w:tcPr>
            <w:tcW w:w="4170" w:type="pct"/>
            <w:gridSpan w:val="5"/>
            <w:noWrap w:val="0"/>
            <w:vAlign w:val="center"/>
          </w:tcPr>
          <w:p>
            <w:pPr>
              <w:rPr>
                <w:rFonts w:hint="default" w:ascii="Times New Roman" w:hAnsi="Times New Roman" w:cs="Times New Roman"/>
                <w:color w:val="000000"/>
                <w:szCs w:val="21"/>
              </w:rPr>
            </w:pPr>
            <w:r>
              <w:rPr>
                <w:rFonts w:hint="default" w:ascii="Times New Roman" w:hAnsi="Times New Roman" w:cs="Times New Roman"/>
                <w:color w:val="000000"/>
                <w:szCs w:val="21"/>
              </w:rPr>
              <w:t>1、次氯酸钠风险防范措施</w:t>
            </w:r>
          </w:p>
          <w:p>
            <w:pPr>
              <w:jc w:val="left"/>
              <w:rPr>
                <w:rFonts w:hint="default" w:ascii="Times New Roman" w:hAnsi="Times New Roman" w:cs="Times New Roman"/>
                <w:color w:val="000000"/>
                <w:szCs w:val="21"/>
              </w:rPr>
            </w:pPr>
            <w:r>
              <w:rPr>
                <w:rFonts w:hint="default" w:ascii="Times New Roman" w:hAnsi="Times New Roman" w:cs="Times New Roman"/>
                <w:color w:val="000000"/>
                <w:szCs w:val="21"/>
              </w:rPr>
              <w:t>次氯酸钠加药器采用密闭装置，并对管道设备的各种密封部位和阀门进行经常检查，防止液体泄漏。污水处理设施处理区采取重点防渗处理，消毒物资储存间内次氯酸钠储存区设置围堰。应定期对次氯酸钠加药器进行检查、维护，对达不到安全要求的设备应进行及时更换。保证发生器不受冲击、撞击。加强输气管道、阀门等设备的定期检查、维护及更换。应对相关工作人员进行上岗培训合格后方可进行发生器的操作。并安排专人定期对设备进行检查、维护及更换。项目应配备常规的检修器材、过滤式防毒面具及手套等以便应急救援时使用。有条件的应给巡检人员配备便携式有毒有害气体检测仪，或在次氯酸钠输送、使用地设置检测报警系统。</w:t>
            </w:r>
          </w:p>
          <w:p>
            <w:pPr>
              <w:rPr>
                <w:rFonts w:hint="default" w:ascii="Times New Roman" w:hAnsi="Times New Roman" w:cs="Times New Roman"/>
                <w:color w:val="000000"/>
                <w:szCs w:val="21"/>
              </w:rPr>
            </w:pPr>
            <w:r>
              <w:rPr>
                <w:rFonts w:hint="default" w:ascii="Times New Roman" w:hAnsi="Times New Roman" w:cs="Times New Roman"/>
                <w:color w:val="000000"/>
                <w:szCs w:val="21"/>
              </w:rPr>
              <w:t>2、医疗废物运输暂存风险防范措施</w:t>
            </w:r>
          </w:p>
          <w:p>
            <w:pPr>
              <w:rPr>
                <w:rFonts w:hint="default" w:ascii="Times New Roman" w:hAnsi="Times New Roman" w:cs="Times New Roman"/>
                <w:color w:val="000000"/>
                <w:szCs w:val="21"/>
              </w:rPr>
            </w:pPr>
            <w:r>
              <w:rPr>
                <w:rFonts w:hint="default" w:ascii="Times New Roman" w:hAnsi="Times New Roman" w:cs="Times New Roman"/>
                <w:color w:val="000000"/>
                <w:szCs w:val="21"/>
              </w:rPr>
              <w:t>医疗废物经产生机构进行密封包装后由封闭的周转箱、利器盒盛装，严格按 GB19217-2003《医疗废物转运车技术要求（试行）》要求配置转运车，转运车辆的车箱应能防止运输过程中医疗废物洒落，转运车辆应配有工具以便及时清除意外洒落的医疗废物，加强转运车维护；加强人员培训，提高业务能力，规范运输人员操作；驾驶室与货箱完全隔开，保证驾驶员安全。合理规划收运路线，尽量避让地表水及地下水丰富的区域，尽量避免或缩短车辆途经河流、学校、医院、政府部门等敏感目标的路程；转运车辆文明驾驶、严禁超速、超载、避免急停急刹；车厢容积留有 1/4的空间不装载，以利于内部空气循环，便于消毒和冷藏降温。依季节调整收集和运输时间，避免早晚交通高峰作业，运输车辆内配备应急收集工具，一旦发生医疗垃圾泄露，工作人员马上利用应急收集工具进行收集、消毒，避免医疗垃圾对道路及其他车辆产生影响；医疗废物转运过程中，严格按照国家制定的《危险废物转移管理办法》执行转移联单制度。车厢内部表面，应采用防水、耐腐蚀、便于消毒清洗的材料，底部设置良好气密性的排水孔。医废在收集运送过程中当发生翻车、撞车事故导致医疗废物大量溢出、散落时，运送人员应立即向本单位应急事故小组取得联系，请求当地公安交警、生态环境主管部门或城市应急联动中心的支持。同时，运送人员应采取下述应急措施：立即请求公安交通警察在受污染地区设立隔离区，禁止其他车辆和行人穿过，避免污染物扩散和对行人造成伤害；对溢出、散落的医疗废物迅速进行收集、清理和消毒处理。医疗废物冷库的设计、运行、安全防护等应满足《危险废物贮存污染控制标准》和《医疗卫生机构医疗废物管理办法》的有关要求。</w:t>
            </w:r>
          </w:p>
          <w:p>
            <w:pPr>
              <w:numPr>
                <w:ilvl w:val="0"/>
                <w:numId w:val="3"/>
              </w:numPr>
              <w:rPr>
                <w:rFonts w:hint="default" w:ascii="Times New Roman" w:hAnsi="Times New Roman" w:cs="Times New Roman"/>
                <w:color w:val="000000"/>
                <w:szCs w:val="21"/>
              </w:rPr>
            </w:pPr>
            <w:r>
              <w:rPr>
                <w:rFonts w:hint="default" w:ascii="Times New Roman" w:hAnsi="Times New Roman" w:cs="Times New Roman"/>
                <w:color w:val="000000"/>
                <w:szCs w:val="21"/>
              </w:rPr>
              <w:t>医疗废物处置过程风向防范措施</w:t>
            </w:r>
          </w:p>
          <w:p>
            <w:pPr>
              <w:rPr>
                <w:rFonts w:hint="default" w:ascii="Times New Roman" w:hAnsi="Times New Roman" w:cs="Times New Roman"/>
                <w:color w:val="000000"/>
                <w:szCs w:val="21"/>
              </w:rPr>
            </w:pPr>
            <w:r>
              <w:rPr>
                <w:rFonts w:hint="default" w:ascii="Times New Roman" w:hAnsi="Times New Roman" w:cs="Times New Roman"/>
                <w:color w:val="000000"/>
                <w:szCs w:val="21"/>
              </w:rPr>
              <w:t>应定期对</w:t>
            </w:r>
            <w:r>
              <w:rPr>
                <w:rFonts w:hint="eastAsia" w:ascii="Times New Roman" w:hAnsi="Times New Roman" w:cs="Times New Roman"/>
                <w:color w:val="000000"/>
                <w:szCs w:val="21"/>
                <w:lang w:val="en-US" w:eastAsia="zh-CN"/>
              </w:rPr>
              <w:t>高温蒸汽</w:t>
            </w:r>
            <w:r>
              <w:rPr>
                <w:rFonts w:hint="default" w:ascii="Times New Roman" w:hAnsi="Times New Roman" w:cs="Times New Roman"/>
                <w:color w:val="000000"/>
                <w:szCs w:val="21"/>
              </w:rPr>
              <w:t>消毒处理设施、设备运行及安全状况进行检测和评估，消除安全隐患，禁止将不合格的医废残渣送往生活垃圾处理厂。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pPr>
              <w:jc w:val="left"/>
              <w:rPr>
                <w:rFonts w:hint="default" w:ascii="Times New Roman" w:hAnsi="Times New Roman" w:cs="Times New Roman"/>
                <w:color w:val="000000"/>
                <w:szCs w:val="21"/>
              </w:rPr>
            </w:pPr>
            <w:r>
              <w:rPr>
                <w:rFonts w:hint="default" w:ascii="Times New Roman" w:hAnsi="Times New Roman" w:cs="Times New Roman"/>
                <w:color w:val="000000"/>
                <w:szCs w:val="21"/>
              </w:rPr>
              <w:t>填表说明（列出项目相关信息及评价说明）：</w:t>
            </w:r>
          </w:p>
          <w:p>
            <w:pPr>
              <w:jc w:val="left"/>
              <w:rPr>
                <w:rFonts w:hint="default" w:ascii="Times New Roman" w:hAnsi="Times New Roman" w:cs="Times New Roman"/>
                <w:color w:val="000000"/>
                <w:szCs w:val="21"/>
              </w:rPr>
            </w:pPr>
            <w:r>
              <w:rPr>
                <w:rFonts w:hint="default" w:ascii="Times New Roman" w:hAnsi="Times New Roman" w:cs="Times New Roman"/>
                <w:color w:val="000000"/>
                <w:szCs w:val="21"/>
              </w:rPr>
              <w:t>本项目危险物质数量与临界量的比值∑Q=0.01，Q＜1，根据《建设项目环境风险评价技术导则》（HJ169-2018），本项目环境风险潜势等级为I，可开展简单分析。</w:t>
            </w:r>
          </w:p>
        </w:tc>
      </w:tr>
      <w:bookmarkEnd w:id="97"/>
    </w:tbl>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spacing w:line="360" w:lineRule="auto"/>
        <w:rPr>
          <w:rFonts w:hint="eastAsia" w:ascii="Times New Roman" w:hAnsi="Times New Roman" w:eastAsia="宋体" w:cs="Times New Roman"/>
          <w:sz w:val="24"/>
          <w:szCs w:val="24"/>
          <w:lang w:val="en-US" w:eastAsia="zh-CN"/>
        </w:rPr>
      </w:pPr>
    </w:p>
    <w:p>
      <w:pPr>
        <w:pStyle w:val="36"/>
        <w:rPr>
          <w:rFonts w:hint="default" w:ascii="Times New Roman" w:hAnsi="Times New Roman" w:cs="Times New Roman"/>
        </w:rPr>
      </w:pPr>
      <w:bookmarkStart w:id="98" w:name="_Toc27307"/>
      <w:bookmarkStart w:id="99" w:name="_Toc426048339"/>
      <w:bookmarkStart w:id="100" w:name="_Toc439257839"/>
      <w:bookmarkStart w:id="101" w:name="_Toc12391"/>
      <w:r>
        <w:rPr>
          <w:rFonts w:hint="default" w:ascii="Times New Roman" w:hAnsi="Times New Roman" w:cs="Times New Roman"/>
        </w:rPr>
        <w:t>第6章   环境保护措施及其可行性论证</w:t>
      </w:r>
      <w:bookmarkEnd w:id="98"/>
      <w:bookmarkEnd w:id="99"/>
      <w:bookmarkEnd w:id="100"/>
      <w:bookmarkEnd w:id="101"/>
    </w:p>
    <w:p>
      <w:pPr>
        <w:pStyle w:val="5"/>
        <w:spacing w:before="0" w:after="0" w:line="360" w:lineRule="auto"/>
        <w:rPr>
          <w:rFonts w:hint="default" w:ascii="Times New Roman" w:hAnsi="Times New Roman" w:eastAsia="宋体" w:cs="Times New Roman"/>
          <w:sz w:val="30"/>
          <w:szCs w:val="30"/>
        </w:rPr>
      </w:pPr>
      <w:bookmarkStart w:id="102" w:name="_Toc341189805"/>
      <w:bookmarkStart w:id="103" w:name="_Toc352168688"/>
      <w:bookmarkStart w:id="104" w:name="_Toc392663568"/>
      <w:bookmarkStart w:id="105" w:name="_Toc9093"/>
      <w:bookmarkStart w:id="106" w:name="_Toc439257840"/>
      <w:bookmarkStart w:id="107" w:name="_Toc426048345"/>
      <w:bookmarkStart w:id="108" w:name="_Toc385615755"/>
      <w:bookmarkStart w:id="109" w:name="_Toc304627343"/>
      <w:bookmarkStart w:id="110" w:name="_Toc360"/>
      <w:r>
        <w:rPr>
          <w:rFonts w:hint="default" w:ascii="Times New Roman" w:hAnsi="Times New Roman" w:eastAsia="宋体" w:cs="Times New Roman"/>
          <w:sz w:val="30"/>
          <w:szCs w:val="30"/>
        </w:rPr>
        <w:t>6.1施工期环保措施</w:t>
      </w:r>
      <w:bookmarkEnd w:id="102"/>
      <w:bookmarkEnd w:id="103"/>
      <w:bookmarkEnd w:id="104"/>
      <w:bookmarkEnd w:id="105"/>
      <w:bookmarkEnd w:id="106"/>
      <w:bookmarkEnd w:id="107"/>
      <w:bookmarkEnd w:id="108"/>
      <w:bookmarkEnd w:id="109"/>
      <w:bookmarkEnd w:id="110"/>
    </w:p>
    <w:p>
      <w:pPr>
        <w:pStyle w:val="6"/>
        <w:spacing w:before="0" w:after="0" w:line="360" w:lineRule="auto"/>
        <w:rPr>
          <w:rFonts w:hint="default" w:ascii="Times New Roman" w:hAnsi="Times New Roman" w:cs="Times New Roman"/>
          <w:kern w:val="0"/>
          <w:sz w:val="28"/>
        </w:rPr>
      </w:pPr>
      <w:bookmarkStart w:id="111" w:name="_Toc352168690"/>
      <w:bookmarkStart w:id="112" w:name="_Toc439257841"/>
      <w:bookmarkStart w:id="113" w:name="_Toc341189807"/>
      <w:bookmarkStart w:id="114" w:name="_Toc304627345"/>
      <w:bookmarkStart w:id="115" w:name="_Toc5909"/>
      <w:bookmarkStart w:id="116" w:name="_Toc8443"/>
      <w:r>
        <w:rPr>
          <w:rFonts w:hint="default" w:ascii="Times New Roman" w:hAnsi="Times New Roman" w:cs="Times New Roman"/>
          <w:kern w:val="0"/>
          <w:sz w:val="28"/>
        </w:rPr>
        <w:t>6.1.1施工期大气污染防治措施</w:t>
      </w:r>
      <w:bookmarkEnd w:id="111"/>
      <w:bookmarkEnd w:id="112"/>
      <w:bookmarkEnd w:id="113"/>
      <w:bookmarkEnd w:id="114"/>
      <w:bookmarkEnd w:id="115"/>
      <w:bookmarkEnd w:id="116"/>
    </w:p>
    <w:p>
      <w:pPr>
        <w:adjustRightInd w:val="0"/>
        <w:snapToGrid w:val="0"/>
        <w:spacing w:line="360" w:lineRule="auto"/>
        <w:ind w:firstLine="480" w:firstLineChars="200"/>
        <w:rPr>
          <w:sz w:val="24"/>
        </w:rPr>
      </w:pPr>
      <w:r>
        <w:rPr>
          <w:sz w:val="24"/>
        </w:rPr>
        <w:t>施工期间扬尘影响范围较小，重污染带位于</w:t>
      </w:r>
      <w:r>
        <w:rPr>
          <w:rFonts w:hint="eastAsia"/>
          <w:sz w:val="24"/>
        </w:rPr>
        <w:t>场内</w:t>
      </w:r>
      <w:r>
        <w:rPr>
          <w:sz w:val="24"/>
        </w:rPr>
        <w:t>构筑物建设施工场地内，建设单位采取以下措施以减轻其影响：</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（1）合理安排工期，尽量使土石方开挖等对土层扰动大的作业期避开大风天气，以减轻扬尘影响；施工单位应制订土方施工处理计划，开挖的土石方应及时回填或运到指定堆土场堆放，并及时夯实。</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（2）施工场地定期洒水，防止扬尘产生，如遇大风日要加大洒水量和洒水次数。</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（3）散装物料装卸应尽可能降低落差、轻装慢卸，车辆上应覆盖篷布；车辆出工地前应尽可能清除表面粘附的泥土等。散装易起尘物料须加以覆盖。</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（4）运输车辆进入施工场地应低速或限速行驶，减少产尘量；施工场地内运输通道及时清扫、洒水，以减少汽车行驶扬尘。</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（5）场地土石方临时堆放过程中加强洒水防尘，并覆盖密目网防止扬尘。临时性用地使用完毕后应恢复植被，防止扬尘、水土流失。</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（6）加强对施工机械及运输车辆的检查、维护和保养，合理安排运输车辆使用频率，减少机械废气的产生。</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rPr>
        <w:t>施工期采取上述措施后，可显著减轻施工活动对环境空气质量带来的不良影响。而且随着工程施工活动的结束，施工期对大气环境的影响也随之消失。</w:t>
      </w:r>
    </w:p>
    <w:p>
      <w:pPr>
        <w:pStyle w:val="6"/>
        <w:spacing w:before="0" w:after="0" w:line="360" w:lineRule="auto"/>
        <w:rPr>
          <w:kern w:val="0"/>
          <w:sz w:val="28"/>
        </w:rPr>
      </w:pPr>
      <w:bookmarkStart w:id="117" w:name="_Toc22394"/>
      <w:bookmarkStart w:id="118" w:name="_Toc439257842"/>
      <w:bookmarkStart w:id="119" w:name="_Toc31917"/>
      <w:r>
        <w:rPr>
          <w:rFonts w:hint="default" w:ascii="Times New Roman" w:hAnsi="Times New Roman" w:cs="Times New Roman"/>
          <w:kern w:val="0"/>
          <w:sz w:val="28"/>
        </w:rPr>
        <w:t>6.1.2施工期水污染防治措施</w:t>
      </w:r>
      <w:bookmarkEnd w:id="117"/>
      <w:bookmarkEnd w:id="118"/>
      <w:bookmarkEnd w:id="119"/>
    </w:p>
    <w:p>
      <w:pPr>
        <w:spacing w:line="360" w:lineRule="auto"/>
        <w:ind w:firstLine="480" w:firstLineChars="200"/>
        <w:rPr>
          <w:rFonts w:hint="eastAsia" w:ascii="Times New Roman" w:hAnsi="Times New Roman" w:eastAsia="宋体" w:cs="Times New Roman"/>
          <w:sz w:val="24"/>
          <w:szCs w:val="24"/>
          <w:lang w:val="en-US" w:eastAsia="zh-CN"/>
        </w:rPr>
      </w:pPr>
      <w:r>
        <w:rPr>
          <w:sz w:val="24"/>
        </w:rPr>
        <w:t>针对本项目施工过程中产生的废水，施工单位采取以下防治措施：</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（1）在施工现场建设临时简易防渗沉淀池，施工废水经过沉淀处理后用于场地洒水或回用，不外排。</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sz w:val="24"/>
        </w:rPr>
        <w:t>（2）施工机械冲洗废水经隔油沉淀处理后回用于机械冲洗不外排，隔油池内的废油委托有资质的单位处理。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sz w:val="24"/>
        </w:rPr>
        <w:t>（3）施工期</w:t>
      </w:r>
      <w:r>
        <w:rPr>
          <w:rFonts w:hint="default" w:ascii="Times New Roman" w:hAnsi="Times New Roman" w:cs="Times New Roman"/>
          <w:color w:val="auto"/>
          <w:sz w:val="24"/>
        </w:rPr>
        <w:t>生活污水前期排入临时旱</w:t>
      </w:r>
      <w:r>
        <w:rPr>
          <w:rFonts w:hint="default" w:ascii="Times New Roman" w:hAnsi="Times New Roman" w:cs="Times New Roman"/>
          <w:color w:val="auto"/>
          <w:sz w:val="24"/>
          <w:szCs w:val="24"/>
        </w:rPr>
        <w:t>厕，后期排入新建防渗化粪池，</w:t>
      </w:r>
      <w:r>
        <w:rPr>
          <w:rFonts w:hint="default" w:ascii="Times New Roman" w:hAnsi="Times New Roman" w:cs="Times New Roman"/>
          <w:color w:val="auto"/>
          <w:sz w:val="24"/>
          <w:szCs w:val="24"/>
          <w:lang w:val="en-US" w:eastAsia="zh-CN"/>
        </w:rPr>
        <w:t>定期由吸污车清运至</w:t>
      </w:r>
      <w:r>
        <w:rPr>
          <w:rFonts w:hint="eastAsia" w:ascii="Times New Roman" w:hAnsi="Times New Roman" w:cs="Times New Roman"/>
          <w:color w:val="auto"/>
          <w:sz w:val="24"/>
          <w:szCs w:val="24"/>
          <w:lang w:val="en-US" w:eastAsia="zh-CN"/>
        </w:rPr>
        <w:t>突泉县突泉镇清源污水处理厂</w:t>
      </w:r>
      <w:r>
        <w:rPr>
          <w:rFonts w:hint="default" w:ascii="Times New Roman" w:hAnsi="Times New Roman" w:cs="Times New Roman"/>
          <w:color w:val="auto"/>
          <w:sz w:val="24"/>
          <w:szCs w:val="24"/>
          <w:lang w:val="en-US" w:eastAsia="zh-CN"/>
        </w:rPr>
        <w:t>进一步处理</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（4）施工场地四周及临时堆场设置排水沟，在雨天可将含泥雨水收集并经过沉淀处理后自然排放，尽量减轻雨水对场地的冲刷，减缓水土流失对水环境的影响。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（5）水泥、黄砂、石灰类等建筑材料需集中堆放，并采取一定的防雨水冲刷措施。</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rPr>
        <w:t>采取以上措施后，项目施工期废水均能得到有效处理，不将污水直接排放至外环境，对项目周边水环境基本没有影响。</w:t>
      </w:r>
    </w:p>
    <w:p>
      <w:pPr>
        <w:pStyle w:val="6"/>
        <w:spacing w:before="0" w:after="0" w:line="360" w:lineRule="auto"/>
        <w:rPr>
          <w:rFonts w:hint="default" w:ascii="Times New Roman" w:hAnsi="Times New Roman" w:cs="Times New Roman"/>
          <w:kern w:val="0"/>
          <w:sz w:val="28"/>
        </w:rPr>
      </w:pPr>
      <w:bookmarkStart w:id="120" w:name="_Toc9405"/>
      <w:bookmarkStart w:id="121" w:name="_Toc439257843"/>
      <w:bookmarkStart w:id="122" w:name="_Toc352168691"/>
      <w:bookmarkStart w:id="123" w:name="_Toc341189808"/>
      <w:bookmarkStart w:id="124" w:name="_Toc304627346"/>
      <w:bookmarkStart w:id="125" w:name="_Toc9155"/>
      <w:r>
        <w:rPr>
          <w:rFonts w:hint="default" w:ascii="Times New Roman" w:hAnsi="Times New Roman" w:cs="Times New Roman"/>
          <w:kern w:val="0"/>
          <w:sz w:val="28"/>
        </w:rPr>
        <w:t>6.1.3施工期噪声污染防治措施</w:t>
      </w:r>
      <w:bookmarkEnd w:id="120"/>
      <w:bookmarkEnd w:id="121"/>
      <w:bookmarkEnd w:id="122"/>
      <w:bookmarkEnd w:id="123"/>
      <w:bookmarkEnd w:id="124"/>
      <w:bookmarkEnd w:id="125"/>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为了满足《建筑施工场界环境噪声排放标准》（GB12523-2011）要求，本工程施工中应采取如下噪声防治措施：</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（1）合理布局施工场地，合理安排施工时间，尽可能避免大量高噪声设备同时施工，夜间禁止施工。</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（2）选用低噪声设备，加强对设备的维护、养护。</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（3）高噪声设备需封闭使用或四周加设隔声屏障，降低其使用时产生的噪声对周围环境的影响。</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（4）加强施工管理，降低人为噪声影响。</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 xml:space="preserve">（5）加强车辆管理，禁止鸣笛，并限速行驶；对运输车辆定期维修、养护，保持车况良好。 </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rPr>
        <w:t>采取上述措施后，预计可将施工期噪声对环境的影响降至最低程度。</w:t>
      </w:r>
    </w:p>
    <w:p>
      <w:pPr>
        <w:pStyle w:val="6"/>
        <w:spacing w:before="0" w:after="0" w:line="360" w:lineRule="auto"/>
        <w:rPr>
          <w:rFonts w:hint="default" w:ascii="Times New Roman" w:hAnsi="Times New Roman" w:cs="Times New Roman"/>
          <w:kern w:val="0"/>
          <w:sz w:val="28"/>
        </w:rPr>
      </w:pPr>
      <w:bookmarkStart w:id="126" w:name="_Toc439257844"/>
      <w:bookmarkStart w:id="127" w:name="_Toc341189809"/>
      <w:bookmarkStart w:id="128" w:name="_Toc12939"/>
      <w:bookmarkStart w:id="129" w:name="_Toc304627347"/>
      <w:bookmarkStart w:id="130" w:name="_Toc352168692"/>
      <w:bookmarkStart w:id="131" w:name="_Toc938"/>
      <w:r>
        <w:rPr>
          <w:rFonts w:hint="default" w:ascii="Times New Roman" w:hAnsi="Times New Roman" w:cs="Times New Roman"/>
          <w:kern w:val="0"/>
          <w:sz w:val="28"/>
        </w:rPr>
        <w:t>6.1.4施工期固废污染防治措施</w:t>
      </w:r>
      <w:bookmarkEnd w:id="126"/>
      <w:bookmarkEnd w:id="127"/>
      <w:bookmarkEnd w:id="128"/>
      <w:bookmarkEnd w:id="129"/>
      <w:bookmarkEnd w:id="130"/>
      <w:bookmarkEnd w:id="131"/>
    </w:p>
    <w:p>
      <w:pPr>
        <w:spacing w:line="360" w:lineRule="auto"/>
        <w:ind w:firstLine="480" w:firstLineChars="200"/>
        <w:rPr>
          <w:rFonts w:hint="eastAsia" w:ascii="Times New Roman" w:hAnsi="Times New Roman" w:eastAsia="宋体" w:cs="Times New Roman"/>
          <w:sz w:val="24"/>
          <w:szCs w:val="24"/>
          <w:lang w:val="en-US" w:eastAsia="zh-CN"/>
        </w:rPr>
      </w:pPr>
      <w:r>
        <w:rPr>
          <w:sz w:val="24"/>
        </w:rPr>
        <w:t>施工单位在施工时</w:t>
      </w:r>
      <w:r>
        <w:rPr>
          <w:rFonts w:hint="eastAsia"/>
          <w:sz w:val="24"/>
        </w:rPr>
        <w:t>应</w:t>
      </w:r>
      <w:r>
        <w:rPr>
          <w:sz w:val="24"/>
        </w:rPr>
        <w:t>做到文明施工，工程结束后将固体废弃物规划运输，送至指定地点处理，不得随意倾倒，具体防治措施如下：</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（1）施工场地进行土地平整、地基开挖的土石方全部回填。</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（2）建筑垃圾应在指定的堆放点存放，钢筋、碎石、砂土、砖等建筑垃圾集中收集后可利用部分用于地基加固、道路填筑等，不可利用部分及时运至当地建筑垃圾填埋场处置，不能随意抛弃、转移和扩散。</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（3）施工人员的生活垃圾集中收集后，由当地环卫部门集中处理。</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在施工过程中加强对施工固体废物妥善堆存，暂存点要采取必要的防渗、防水土流失措施，避免对土壤、地下水造成影响。施工结束后立即清理现场。</w:t>
      </w:r>
    </w:p>
    <w:p>
      <w:pPr>
        <w:spacing w:line="360" w:lineRule="auto"/>
        <w:rPr>
          <w:rFonts w:hint="eastAsia" w:ascii="Times New Roman" w:hAnsi="Times New Roman" w:eastAsia="宋体" w:cs="Times New Roman"/>
          <w:sz w:val="24"/>
          <w:szCs w:val="24"/>
          <w:lang w:val="en-US" w:eastAsia="zh-CN"/>
        </w:rPr>
      </w:pPr>
      <w:r>
        <w:rPr>
          <w:rFonts w:hint="default" w:ascii="Times New Roman" w:hAnsi="Times New Roman" w:cs="Times New Roman"/>
          <w:sz w:val="24"/>
        </w:rPr>
        <w:t>本项目施工固废处理措施合理可行，各固体废物均能得到妥善处置。</w:t>
      </w:r>
    </w:p>
    <w:p>
      <w:pPr>
        <w:pStyle w:val="6"/>
        <w:spacing w:before="0" w:after="0" w:line="360" w:lineRule="auto"/>
        <w:rPr>
          <w:rFonts w:hint="default" w:ascii="Times New Roman" w:hAnsi="Times New Roman" w:cs="Times New Roman"/>
          <w:kern w:val="0"/>
          <w:sz w:val="28"/>
        </w:rPr>
      </w:pPr>
      <w:bookmarkStart w:id="132" w:name="_Toc1424"/>
      <w:bookmarkStart w:id="133" w:name="_Toc6508"/>
      <w:r>
        <w:rPr>
          <w:rFonts w:hint="default" w:ascii="Times New Roman" w:hAnsi="Times New Roman" w:cs="Times New Roman"/>
          <w:kern w:val="0"/>
          <w:sz w:val="28"/>
        </w:rPr>
        <w:t>6.1.5施工期生态环境保护措施</w:t>
      </w:r>
      <w:bookmarkEnd w:id="132"/>
      <w:bookmarkEnd w:id="133"/>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（1）施工期应避开雨天与大风天气，减少水土流失量。</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（2）施工过程中，在施工场地周围采取临时拦挡措施，挖方及时回填，并做好临时拦挡措施。</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（3）施工结束后对场区进行绿化，恢复植被。</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rPr>
        <w:t>采取上述措施后可显著减轻施工期对生态环境的影响，措施可行。</w:t>
      </w:r>
    </w:p>
    <w:p>
      <w:pPr>
        <w:pStyle w:val="5"/>
        <w:spacing w:before="0" w:after="0" w:line="360" w:lineRule="auto"/>
        <w:rPr>
          <w:rFonts w:hint="default" w:ascii="Times New Roman" w:hAnsi="Times New Roman" w:eastAsia="宋体" w:cs="Times New Roman"/>
          <w:sz w:val="30"/>
          <w:szCs w:val="30"/>
        </w:rPr>
      </w:pPr>
      <w:bookmarkStart w:id="134" w:name="_Toc439257846"/>
      <w:bookmarkStart w:id="135" w:name="_Toc352168696"/>
      <w:bookmarkStart w:id="136" w:name="_Toc426048340"/>
      <w:bookmarkStart w:id="137" w:name="_Toc16292"/>
      <w:bookmarkStart w:id="138" w:name="_Toc304990099"/>
      <w:bookmarkStart w:id="139" w:name="_Toc22771"/>
      <w:r>
        <w:rPr>
          <w:rFonts w:hint="default" w:ascii="Times New Roman" w:hAnsi="Times New Roman" w:eastAsia="宋体" w:cs="Times New Roman"/>
          <w:sz w:val="30"/>
          <w:szCs w:val="30"/>
        </w:rPr>
        <w:t>6.2运营期污染防治措施</w:t>
      </w:r>
      <w:bookmarkEnd w:id="134"/>
      <w:bookmarkEnd w:id="135"/>
      <w:bookmarkEnd w:id="136"/>
      <w:bookmarkEnd w:id="137"/>
      <w:bookmarkEnd w:id="138"/>
      <w:bookmarkEnd w:id="139"/>
    </w:p>
    <w:p>
      <w:pPr>
        <w:pStyle w:val="6"/>
        <w:spacing w:before="0" w:after="0" w:line="360" w:lineRule="auto"/>
        <w:rPr>
          <w:rFonts w:hint="default" w:ascii="Times New Roman" w:hAnsi="Times New Roman" w:cs="Times New Roman"/>
          <w:kern w:val="0"/>
          <w:sz w:val="28"/>
        </w:rPr>
      </w:pPr>
      <w:bookmarkStart w:id="140" w:name="_Toc439257847"/>
      <w:bookmarkStart w:id="141" w:name="_Toc16050"/>
      <w:bookmarkStart w:id="142" w:name="_Toc29800"/>
      <w:r>
        <w:rPr>
          <w:rFonts w:hint="default" w:ascii="Times New Roman" w:hAnsi="Times New Roman" w:cs="Times New Roman"/>
          <w:kern w:val="0"/>
          <w:sz w:val="28"/>
        </w:rPr>
        <w:t>6.2.1废气污染防治措施</w:t>
      </w:r>
      <w:bookmarkEnd w:id="140"/>
      <w:r>
        <w:rPr>
          <w:rFonts w:hint="default" w:ascii="Times New Roman" w:hAnsi="Times New Roman" w:cs="Times New Roman"/>
          <w:kern w:val="0"/>
          <w:sz w:val="28"/>
        </w:rPr>
        <w:t>及其可行性分析</w:t>
      </w:r>
      <w:bookmarkEnd w:id="141"/>
      <w:bookmarkEnd w:id="142"/>
    </w:p>
    <w:p>
      <w:pPr>
        <w:pStyle w:val="28"/>
        <w:rPr>
          <w:rFonts w:hint="default" w:ascii="Times New Roman" w:hAnsi="Times New Roman" w:cs="Times New Roman"/>
        </w:rPr>
      </w:pPr>
      <w:r>
        <w:rPr>
          <w:rFonts w:hint="default" w:ascii="Times New Roman" w:hAnsi="Times New Roman" w:cs="Times New Roman"/>
        </w:rPr>
        <w:t>6.2.1.1医废处理车间有组织废气防治措施</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rPr>
        <w:t>本项目一体化污水处理设施设于医废处理车间内，冷库位于处理车间内</w:t>
      </w:r>
      <w:r>
        <w:rPr>
          <w:rFonts w:hint="eastAsia" w:ascii="Times New Roman" w:hAnsi="Times New Roman" w:cs="Times New Roman"/>
          <w:sz w:val="24"/>
          <w:lang w:val="en-US" w:eastAsia="zh-CN"/>
        </w:rPr>
        <w:t>西</w:t>
      </w:r>
      <w:r>
        <w:rPr>
          <w:rFonts w:hint="default" w:ascii="Times New Roman" w:hAnsi="Times New Roman" w:cs="Times New Roman"/>
          <w:sz w:val="24"/>
        </w:rPr>
        <w:t>侧，</w:t>
      </w:r>
      <w:r>
        <w:rPr>
          <w:rFonts w:hint="eastAsia" w:ascii="Times New Roman" w:hAnsi="Times New Roman" w:cs="Times New Roman"/>
          <w:sz w:val="24"/>
          <w:lang w:val="en-US" w:eastAsia="zh-CN"/>
        </w:rPr>
        <w:t>高温蒸汽</w:t>
      </w:r>
      <w:r>
        <w:rPr>
          <w:rFonts w:hint="default" w:ascii="Times New Roman" w:hAnsi="Times New Roman" w:cs="Times New Roman"/>
          <w:sz w:val="24"/>
        </w:rPr>
        <w:t>处理系统位于处理车间内</w:t>
      </w:r>
      <w:r>
        <w:rPr>
          <w:rFonts w:hint="eastAsia" w:ascii="Times New Roman" w:hAnsi="Times New Roman" w:cs="Times New Roman"/>
          <w:sz w:val="24"/>
          <w:lang w:val="en-US" w:eastAsia="zh-CN"/>
        </w:rPr>
        <w:t>东</w:t>
      </w:r>
      <w:r>
        <w:rPr>
          <w:rFonts w:hint="default" w:ascii="Times New Roman" w:hAnsi="Times New Roman" w:cs="Times New Roman"/>
          <w:sz w:val="24"/>
        </w:rPr>
        <w:t>侧，医废处理车间内设</w:t>
      </w:r>
      <w:r>
        <w:rPr>
          <w:rFonts w:hint="default" w:ascii="Times New Roman" w:hAnsi="Times New Roman" w:cs="Times New Roman"/>
          <w:kern w:val="0"/>
          <w:sz w:val="24"/>
        </w:rPr>
        <w:t>1套“</w:t>
      </w:r>
      <w:r>
        <w:rPr>
          <w:rFonts w:hint="eastAsia" w:ascii="Times New Roman" w:hAnsi="Times New Roman" w:cs="Times New Roman"/>
          <w:kern w:val="0"/>
          <w:sz w:val="24"/>
          <w:lang w:val="en-US" w:eastAsia="zh-CN"/>
        </w:rPr>
        <w:t>雾化喷淋</w:t>
      </w:r>
      <w:r>
        <w:rPr>
          <w:rFonts w:hint="default" w:ascii="Times New Roman" w:hAnsi="Times New Roman" w:cs="Times New Roman"/>
          <w:kern w:val="0"/>
          <w:sz w:val="24"/>
        </w:rPr>
        <w:t>＋UV 光氧催化＋</w:t>
      </w:r>
      <w:r>
        <w:rPr>
          <w:rFonts w:hint="eastAsia" w:ascii="Times New Roman" w:hAnsi="Times New Roman" w:cs="Times New Roman"/>
          <w:kern w:val="0"/>
          <w:sz w:val="24"/>
          <w:lang w:val="en-US" w:eastAsia="zh-CN"/>
        </w:rPr>
        <w:t>活性炭吸附</w:t>
      </w:r>
      <w:r>
        <w:rPr>
          <w:rFonts w:hint="default" w:ascii="Times New Roman" w:hAnsi="Times New Roman" w:cs="Times New Roman"/>
          <w:kern w:val="0"/>
          <w:sz w:val="24"/>
        </w:rPr>
        <w:t>”废气处理装置，故项目</w:t>
      </w:r>
      <w:r>
        <w:rPr>
          <w:rFonts w:hint="default" w:ascii="Times New Roman" w:hAnsi="Times New Roman" w:cs="Times New Roman"/>
          <w:sz w:val="24"/>
        </w:rPr>
        <w:t>医废处理车间有组织废气含</w:t>
      </w:r>
      <w:r>
        <w:rPr>
          <w:rFonts w:hint="eastAsia" w:ascii="Times New Roman" w:hAnsi="Times New Roman" w:cs="Times New Roman"/>
          <w:sz w:val="24"/>
          <w:lang w:val="en-US" w:eastAsia="zh-CN"/>
        </w:rPr>
        <w:t>高温蒸汽</w:t>
      </w:r>
      <w:r>
        <w:rPr>
          <w:rFonts w:hint="default" w:ascii="Times New Roman" w:hAnsi="Times New Roman" w:cs="Times New Roman"/>
          <w:sz w:val="24"/>
        </w:rPr>
        <w:t>消毒系统废气、冷库废气、污水处理设施恶臭。</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sz w:val="24"/>
        </w:rPr>
        <w:t>本项目产生的有组织废气主要为医废处理车间有组织废气，主要污染物为</w:t>
      </w:r>
      <w:r>
        <w:rPr>
          <w:rFonts w:hint="default" w:ascii="Times New Roman" w:hAnsi="Times New Roman" w:cs="Times New Roman"/>
          <w:color w:val="000000"/>
          <w:sz w:val="24"/>
          <w:szCs w:val="21"/>
        </w:rPr>
        <w:t>颗粒物</w:t>
      </w:r>
      <w:r>
        <w:rPr>
          <w:rFonts w:hint="default" w:ascii="Times New Roman" w:hAnsi="Times New Roman" w:cs="Times New Roman"/>
          <w:sz w:val="24"/>
        </w:rPr>
        <w:t>、NH</w:t>
      </w:r>
      <w:r>
        <w:rPr>
          <w:rFonts w:hint="default" w:ascii="Times New Roman" w:hAnsi="Times New Roman" w:cs="Times New Roman"/>
          <w:sz w:val="24"/>
          <w:vertAlign w:val="subscript"/>
        </w:rPr>
        <w:t>3</w:t>
      </w:r>
      <w:r>
        <w:rPr>
          <w:rFonts w:hint="default" w:ascii="Times New Roman" w:hAnsi="Times New Roman" w:cs="Times New Roman"/>
          <w:sz w:val="24"/>
        </w:rPr>
        <w:t>、H</w:t>
      </w:r>
      <w:r>
        <w:rPr>
          <w:rFonts w:hint="default" w:ascii="Times New Roman" w:hAnsi="Times New Roman" w:cs="Times New Roman"/>
          <w:sz w:val="24"/>
          <w:vertAlign w:val="subscript"/>
        </w:rPr>
        <w:t>2</w:t>
      </w:r>
      <w:r>
        <w:rPr>
          <w:rFonts w:hint="default" w:ascii="Times New Roman" w:hAnsi="Times New Roman" w:cs="Times New Roman"/>
          <w:sz w:val="24"/>
        </w:rPr>
        <w:t>S</w:t>
      </w:r>
      <w:r>
        <w:rPr>
          <w:rFonts w:hint="default" w:ascii="Times New Roman" w:hAnsi="Times New Roman" w:cs="Times New Roman"/>
          <w:color w:val="000000"/>
          <w:sz w:val="24"/>
          <w:szCs w:val="21"/>
        </w:rPr>
        <w:t>、臭气浓度、非甲烷总烃</w:t>
      </w:r>
      <w:r>
        <w:rPr>
          <w:rFonts w:hint="default" w:ascii="Times New Roman" w:hAnsi="Times New Roman" w:cs="Times New Roman"/>
          <w:sz w:val="24"/>
        </w:rPr>
        <w:t>。目前国内的医疗废物处置工程废气处理工艺主要有“高效光解氧化法”、“生物法”、“高效过滤+活性炭吸附法”、“等离子法”、“喷淋法”，评价对以上五种处理工艺进行比较。见表6.2-1。</w:t>
      </w:r>
    </w:p>
    <w:p>
      <w:pPr>
        <w:spacing w:line="360" w:lineRule="auto"/>
        <w:ind w:firstLine="480" w:firstLineChars="200"/>
        <w:rPr>
          <w:rFonts w:hint="default" w:ascii="Times New Roman" w:hAnsi="Times New Roman" w:cs="Times New Roman" w:eastAsiaTheme="minorEastAsia"/>
          <w:sz w:val="24"/>
          <w:szCs w:val="24"/>
          <w:lang w:val="en-US" w:eastAsia="zh-CN"/>
        </w:rPr>
      </w:pPr>
      <w:r>
        <w:rPr>
          <w:sz w:val="24"/>
        </w:rPr>
        <w:t>项目</w:t>
      </w:r>
      <w:r>
        <w:rPr>
          <w:rFonts w:hint="eastAsia"/>
          <w:sz w:val="24"/>
          <w:lang w:val="en-US" w:eastAsia="zh-CN"/>
        </w:rPr>
        <w:t>高温蒸汽</w:t>
      </w:r>
      <w:r>
        <w:rPr>
          <w:sz w:val="24"/>
        </w:rPr>
        <w:t>消毒系统废气为混合废气、污染物浓度较低，</w:t>
      </w:r>
      <w:r>
        <w:rPr>
          <w:rFonts w:hint="eastAsia"/>
          <w:color w:val="000000"/>
          <w:sz w:val="24"/>
          <w:szCs w:val="21"/>
        </w:rPr>
        <w:t>处理车间、冷库采用微负压，</w:t>
      </w:r>
      <w:r>
        <w:rPr>
          <w:rFonts w:hint="eastAsia"/>
          <w:color w:val="000000"/>
          <w:sz w:val="24"/>
          <w:szCs w:val="21"/>
          <w:lang w:val="en-US" w:eastAsia="zh-CN"/>
        </w:rPr>
        <w:t>各出入料口处均设有集气罩，</w:t>
      </w:r>
      <w:r>
        <w:rPr>
          <w:rFonts w:hint="default" w:ascii="Times New Roman" w:hAnsi="Times New Roman" w:cs="Times New Roman"/>
          <w:color w:val="000000"/>
          <w:sz w:val="24"/>
          <w:szCs w:val="21"/>
        </w:rPr>
        <w:t>项目一体化污水处理设施位于处理医废处理间内，处理车间、冷库废气、污水处理设施恶臭统一负压收集后经1套“</w:t>
      </w:r>
      <w:r>
        <w:rPr>
          <w:rFonts w:hint="eastAsia" w:ascii="Times New Roman" w:hAnsi="Times New Roman" w:cs="Times New Roman"/>
          <w:kern w:val="0"/>
          <w:sz w:val="24"/>
          <w:lang w:val="en-US" w:eastAsia="zh-CN"/>
        </w:rPr>
        <w:t>雾化喷淋</w:t>
      </w:r>
      <w:r>
        <w:rPr>
          <w:rFonts w:hint="default" w:ascii="Times New Roman" w:hAnsi="Times New Roman" w:cs="Times New Roman"/>
          <w:kern w:val="0"/>
          <w:sz w:val="24"/>
        </w:rPr>
        <w:t>＋UV 光氧催化＋</w:t>
      </w:r>
      <w:r>
        <w:rPr>
          <w:rFonts w:hint="eastAsia" w:ascii="Times New Roman" w:hAnsi="Times New Roman" w:cs="Times New Roman"/>
          <w:kern w:val="0"/>
          <w:sz w:val="24"/>
          <w:lang w:val="en-US" w:eastAsia="zh-CN"/>
        </w:rPr>
        <w:t>活性炭吸附</w:t>
      </w:r>
      <w:r>
        <w:rPr>
          <w:rFonts w:hint="default" w:ascii="Times New Roman" w:hAnsi="Times New Roman" w:cs="Times New Roman"/>
          <w:color w:val="000000"/>
          <w:sz w:val="24"/>
          <w:szCs w:val="21"/>
        </w:rPr>
        <w:t>”处理后经1根15m高排气筒排放</w:t>
      </w:r>
      <w:r>
        <w:rPr>
          <w:rFonts w:hint="default" w:ascii="Times New Roman" w:hAnsi="Times New Roman" w:cs="Times New Roman"/>
          <w:sz w:val="24"/>
        </w:rPr>
        <w:t>，处理后废气污染物</w:t>
      </w:r>
      <w:r>
        <w:rPr>
          <w:rFonts w:hint="default" w:ascii="Times New Roman" w:hAnsi="Times New Roman" w:cs="Times New Roman"/>
          <w:color w:val="000000"/>
          <w:sz w:val="24"/>
          <w:szCs w:val="21"/>
        </w:rPr>
        <w:t>颗粒物</w:t>
      </w:r>
      <w:r>
        <w:rPr>
          <w:rFonts w:hint="default" w:ascii="Times New Roman" w:hAnsi="Times New Roman" w:cs="Times New Roman"/>
          <w:sz w:val="24"/>
        </w:rPr>
        <w:t>、NH</w:t>
      </w:r>
      <w:r>
        <w:rPr>
          <w:rFonts w:hint="default" w:ascii="Times New Roman" w:hAnsi="Times New Roman" w:cs="Times New Roman"/>
          <w:sz w:val="24"/>
          <w:vertAlign w:val="subscript"/>
        </w:rPr>
        <w:t>3</w:t>
      </w:r>
      <w:r>
        <w:rPr>
          <w:rFonts w:hint="default" w:ascii="Times New Roman" w:hAnsi="Times New Roman" w:cs="Times New Roman"/>
          <w:sz w:val="24"/>
        </w:rPr>
        <w:t>、H</w:t>
      </w:r>
      <w:r>
        <w:rPr>
          <w:rFonts w:hint="default" w:ascii="Times New Roman" w:hAnsi="Times New Roman" w:cs="Times New Roman"/>
          <w:sz w:val="24"/>
          <w:vertAlign w:val="subscript"/>
        </w:rPr>
        <w:t>2</w:t>
      </w:r>
      <w:r>
        <w:rPr>
          <w:rFonts w:hint="default" w:ascii="Times New Roman" w:hAnsi="Times New Roman" w:cs="Times New Roman"/>
          <w:sz w:val="24"/>
        </w:rPr>
        <w:t>S</w:t>
      </w:r>
      <w:r>
        <w:rPr>
          <w:rFonts w:hint="default" w:ascii="Times New Roman" w:hAnsi="Times New Roman" w:cs="Times New Roman"/>
          <w:color w:val="000000"/>
          <w:sz w:val="24"/>
          <w:szCs w:val="21"/>
        </w:rPr>
        <w:t>、臭气浓度、非甲烷总烃</w:t>
      </w:r>
      <w:r>
        <w:rPr>
          <w:rFonts w:hint="default" w:ascii="Times New Roman" w:hAnsi="Times New Roman" w:cs="Times New Roman"/>
          <w:sz w:val="24"/>
        </w:rPr>
        <w:t>均达标排放</w:t>
      </w:r>
      <w:r>
        <w:rPr>
          <w:sz w:val="24"/>
        </w:rPr>
        <w:t>。</w:t>
      </w:r>
    </w:p>
    <w:p>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（1）工艺</w:t>
      </w:r>
    </w:p>
    <w:p>
      <w:pPr>
        <w:spacing w:line="360" w:lineRule="auto"/>
        <w:ind w:firstLine="480" w:firstLineChars="200"/>
        <w:rPr>
          <w:rFonts w:hint="eastAsia" w:ascii="Times New Roman" w:hAnsi="Times New Roman" w:eastAsia="宋体" w:cs="Times New Roman"/>
          <w:sz w:val="24"/>
          <w:szCs w:val="24"/>
          <w:lang w:val="en-US" w:eastAsia="zh-CN"/>
        </w:rPr>
      </w:pPr>
      <w:r>
        <w:rPr>
          <w:sz w:val="24"/>
        </w:rPr>
        <w:t>医废</w:t>
      </w:r>
      <w:r>
        <w:rPr>
          <w:rFonts w:hint="eastAsia"/>
          <w:sz w:val="24"/>
          <w:lang w:val="en-US" w:eastAsia="zh-CN"/>
        </w:rPr>
        <w:t>高温蒸汽</w:t>
      </w:r>
      <w:r>
        <w:rPr>
          <w:sz w:val="24"/>
        </w:rPr>
        <w:t>消毒工艺处理过程中产生的恶臭气体主要是医疗废物中的有机物质分解产生的，主要来源于破碎和消毒工序。本工程在处理系统进料口及破碎</w:t>
      </w:r>
      <w:r>
        <w:rPr>
          <w:rFonts w:hint="eastAsia"/>
          <w:sz w:val="24"/>
        </w:rPr>
        <w:t>工序</w:t>
      </w:r>
      <w:r>
        <w:rPr>
          <w:rFonts w:hint="eastAsia"/>
          <w:sz w:val="24"/>
          <w:lang w:val="en-US" w:eastAsia="zh-CN"/>
        </w:rPr>
        <w:t>出料口设有集气罩</w:t>
      </w:r>
      <w:r>
        <w:rPr>
          <w:sz w:val="24"/>
        </w:rPr>
        <w:t>，</w:t>
      </w:r>
      <w:r>
        <w:rPr>
          <w:rFonts w:hint="eastAsia"/>
          <w:sz w:val="24"/>
        </w:rPr>
        <w:t>且运营过程中</w:t>
      </w:r>
      <w:r>
        <w:rPr>
          <w:rFonts w:hint="eastAsia"/>
          <w:sz w:val="24"/>
          <w:lang w:val="en-US" w:eastAsia="zh-CN"/>
        </w:rPr>
        <w:t>高温蒸汽</w:t>
      </w:r>
      <w:r>
        <w:rPr>
          <w:rFonts w:hint="eastAsia"/>
          <w:sz w:val="24"/>
        </w:rPr>
        <w:t>处理系统为密闭状态</w:t>
      </w:r>
      <w:r>
        <w:rPr>
          <w:sz w:val="24"/>
        </w:rPr>
        <w:t>，产生的恶臭和废气不易向外扩散，</w:t>
      </w:r>
      <w:r>
        <w:rPr>
          <w:rFonts w:hint="eastAsia"/>
          <w:sz w:val="24"/>
        </w:rPr>
        <w:t>能</w:t>
      </w:r>
      <w:r>
        <w:rPr>
          <w:sz w:val="24"/>
        </w:rPr>
        <w:t>有效减少废气污染物的无组织排放。引风机排出的气体经</w:t>
      </w:r>
      <w:r>
        <w:rPr>
          <w:rFonts w:hint="eastAsia"/>
          <w:sz w:val="24"/>
        </w:rPr>
        <w:t>“</w:t>
      </w:r>
      <w:r>
        <w:rPr>
          <w:rFonts w:hint="eastAsia" w:ascii="Times New Roman" w:hAnsi="Times New Roman" w:cs="Times New Roman"/>
          <w:kern w:val="0"/>
          <w:sz w:val="24"/>
          <w:lang w:val="en-US" w:eastAsia="zh-CN"/>
        </w:rPr>
        <w:t>雾化喷淋</w:t>
      </w:r>
      <w:r>
        <w:rPr>
          <w:rFonts w:hint="default" w:ascii="Times New Roman" w:hAnsi="Times New Roman" w:cs="Times New Roman"/>
          <w:kern w:val="0"/>
          <w:sz w:val="24"/>
        </w:rPr>
        <w:t>＋UV 光氧催化＋</w:t>
      </w:r>
      <w:r>
        <w:rPr>
          <w:rFonts w:hint="eastAsia" w:ascii="Times New Roman" w:hAnsi="Times New Roman" w:cs="Times New Roman"/>
          <w:kern w:val="0"/>
          <w:sz w:val="24"/>
          <w:lang w:val="en-US" w:eastAsia="zh-CN"/>
        </w:rPr>
        <w:t>活性炭吸附</w:t>
      </w:r>
      <w:r>
        <w:rPr>
          <w:rFonts w:hint="default" w:ascii="Times New Roman" w:hAnsi="Times New Roman" w:cs="Times New Roman"/>
          <w:kern w:val="0"/>
          <w:sz w:val="24"/>
        </w:rPr>
        <w:t>”废气处理装置</w:t>
      </w:r>
      <w:r>
        <w:rPr>
          <w:rFonts w:hint="eastAsia"/>
          <w:sz w:val="24"/>
        </w:rPr>
        <w:t>”处</w:t>
      </w:r>
      <w:r>
        <w:rPr>
          <w:rFonts w:hint="default" w:ascii="Times New Roman" w:hAnsi="Times New Roman" w:cs="Times New Roman"/>
          <w:sz w:val="24"/>
        </w:rPr>
        <w:t>理后通过15m 高的</w:t>
      </w:r>
      <w:r>
        <w:rPr>
          <w:sz w:val="24"/>
        </w:rPr>
        <w:t>排气筒排放</w:t>
      </w:r>
      <w:r>
        <w:rPr>
          <w:rFonts w:hint="eastAsia"/>
          <w:sz w:val="24"/>
        </w:rPr>
        <w:t>，可</w:t>
      </w:r>
      <w:r>
        <w:rPr>
          <w:sz w:val="24"/>
        </w:rPr>
        <w:t>有效减少对外环境的影响。</w:t>
      </w:r>
    </w:p>
    <w:p>
      <w:pPr>
        <w:spacing w:line="360" w:lineRule="auto"/>
        <w:ind w:firstLine="480" w:firstLineChars="200"/>
        <w:rPr>
          <w:rFonts w:hint="eastAsia" w:ascii="Times New Roman" w:hAnsi="Times New Roman" w:eastAsia="宋体" w:cs="Times New Roman"/>
          <w:sz w:val="24"/>
          <w:szCs w:val="24"/>
          <w:lang w:val="en-US" w:eastAsia="zh-CN"/>
        </w:rPr>
      </w:pPr>
      <w:r>
        <w:rPr>
          <w:sz w:val="24"/>
        </w:rPr>
        <w:t>废气处理流程如图</w:t>
      </w:r>
      <w:r>
        <w:rPr>
          <w:rFonts w:hint="default" w:ascii="Times New Roman" w:hAnsi="Times New Roman" w:cs="Times New Roman"/>
          <w:sz w:val="24"/>
        </w:rPr>
        <w:t>6.2-1</w:t>
      </w:r>
      <w:r>
        <w:rPr>
          <w:sz w:val="24"/>
        </w:rPr>
        <w:t xml:space="preserve"> 所示。</w:t>
      </w:r>
    </w:p>
    <w:p>
      <w:pPr>
        <w:spacing w:line="360" w:lineRule="auto"/>
        <w:jc w:val="center"/>
      </w:pPr>
      <w:r>
        <w:object>
          <v:shape id="_x0000_i1038" o:spt="75" type="#_x0000_t75" style="height:305pt;width:382.85pt;" o:ole="t" filled="f" o:preferrelative="t" stroked="f" coordsize="21600,21600">
            <v:path/>
            <v:fill on="f" focussize="0,0"/>
            <v:stroke on="f"/>
            <v:imagedata r:id="rId16" o:title=""/>
            <o:lock v:ext="edit" aspectratio="t"/>
            <w10:wrap type="none"/>
            <w10:anchorlock/>
          </v:shape>
          <o:OLEObject Type="Embed" ProgID="Visio.Drawing.15" ShapeID="_x0000_i1038" DrawAspect="Content" ObjectID="_1468075726" r:id="rId15">
            <o:LockedField>false</o:LockedField>
          </o:OLEObject>
        </w:object>
      </w:r>
    </w:p>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cs="Times New Roman"/>
          <w:b/>
          <w:sz w:val="24"/>
        </w:rPr>
        <w:t>图</w:t>
      </w:r>
      <w:r>
        <w:rPr>
          <w:rFonts w:hint="default" w:ascii="Times New Roman" w:hAnsi="Times New Roman" w:cs="Times New Roman"/>
          <w:b/>
          <w:bCs/>
          <w:sz w:val="24"/>
        </w:rPr>
        <w:t xml:space="preserve">6.2-1    </w:t>
      </w:r>
      <w:r>
        <w:rPr>
          <w:rFonts w:hint="default" w:ascii="Times New Roman" w:hAnsi="Times New Roman" w:cs="Times New Roman"/>
          <w:b/>
          <w:sz w:val="24"/>
        </w:rPr>
        <w:t>废气处理工艺流程</w:t>
      </w:r>
    </w:p>
    <w:p>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（2）可行性分析</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sz w:val="24"/>
          <w:szCs w:val="21"/>
        </w:rPr>
        <w:t>处理车间、冷库废气、污水处理设施恶臭统一负压收集后经1套“</w:t>
      </w:r>
      <w:r>
        <w:rPr>
          <w:rFonts w:hint="default" w:ascii="Times New Roman" w:hAnsi="Times New Roman" w:cs="Times New Roman"/>
          <w:kern w:val="0"/>
          <w:sz w:val="24"/>
          <w:lang w:val="en-US" w:eastAsia="zh-CN"/>
        </w:rPr>
        <w:t>雾化喷淋</w:t>
      </w:r>
      <w:r>
        <w:rPr>
          <w:rFonts w:hint="default" w:ascii="Times New Roman" w:hAnsi="Times New Roman" w:cs="Times New Roman"/>
          <w:kern w:val="0"/>
          <w:sz w:val="24"/>
        </w:rPr>
        <w:t>＋UV 光氧催化＋</w:t>
      </w:r>
      <w:r>
        <w:rPr>
          <w:rFonts w:hint="default" w:ascii="Times New Roman" w:hAnsi="Times New Roman" w:cs="Times New Roman"/>
          <w:kern w:val="0"/>
          <w:sz w:val="24"/>
          <w:lang w:val="en-US" w:eastAsia="zh-CN"/>
        </w:rPr>
        <w:t>活性炭吸附</w:t>
      </w:r>
      <w:r>
        <w:rPr>
          <w:rFonts w:hint="default" w:ascii="Times New Roman" w:hAnsi="Times New Roman" w:cs="Times New Roman"/>
          <w:color w:val="000000"/>
          <w:sz w:val="24"/>
          <w:szCs w:val="21"/>
        </w:rPr>
        <w:t>”处理后经1根15m高排气筒排放，处理工艺</w:t>
      </w:r>
      <w:r>
        <w:rPr>
          <w:rFonts w:hint="eastAsia" w:ascii="Times New Roman" w:hAnsi="Times New Roman" w:cs="Times New Roman"/>
          <w:color w:val="000000"/>
          <w:sz w:val="24"/>
          <w:szCs w:val="21"/>
          <w:lang w:val="en-US" w:eastAsia="zh-CN"/>
        </w:rPr>
        <w:t>中雾化喷淋</w:t>
      </w:r>
      <w:r>
        <w:rPr>
          <w:rFonts w:hint="default" w:ascii="Times New Roman" w:hAnsi="Times New Roman" w:cs="Times New Roman"/>
          <w:color w:val="000000"/>
          <w:sz w:val="24"/>
          <w:szCs w:val="21"/>
        </w:rPr>
        <w:t>对</w:t>
      </w:r>
      <w:r>
        <w:rPr>
          <w:rFonts w:hint="default" w:ascii="Times New Roman" w:hAnsi="Times New Roman" w:cs="Times New Roman"/>
          <w:sz w:val="24"/>
        </w:rPr>
        <w:t>废气中颗粒物去除率</w:t>
      </w:r>
      <w:r>
        <w:rPr>
          <w:rFonts w:hint="eastAsia" w:ascii="Times New Roman" w:hAnsi="Times New Roman" w:cs="Times New Roman"/>
          <w:sz w:val="24"/>
          <w:lang w:val="en-US" w:eastAsia="zh-CN"/>
        </w:rPr>
        <w:t>75</w:t>
      </w:r>
      <w:r>
        <w:rPr>
          <w:rFonts w:hint="default" w:ascii="Times New Roman" w:hAnsi="Times New Roman" w:cs="Times New Roman"/>
          <w:sz w:val="24"/>
        </w:rPr>
        <w:t>%</w:t>
      </w:r>
      <w:r>
        <w:rPr>
          <w:rFonts w:hint="eastAsia" w:ascii="Times New Roman" w:hAnsi="Times New Roman" w:cs="Times New Roman"/>
          <w:sz w:val="24"/>
          <w:lang w:eastAsia="zh-CN"/>
        </w:rPr>
        <w:t>，</w:t>
      </w:r>
      <w:r>
        <w:rPr>
          <w:rFonts w:hint="default" w:ascii="Times New Roman" w:hAnsi="Times New Roman" w:cs="Times New Roman"/>
          <w:kern w:val="0"/>
          <w:sz w:val="24"/>
        </w:rPr>
        <w:t>UV 光氧催化</w:t>
      </w:r>
      <w:r>
        <w:rPr>
          <w:rFonts w:hint="eastAsia" w:ascii="Times New Roman" w:hAnsi="Times New Roman" w:cs="Times New Roman"/>
          <w:kern w:val="0"/>
          <w:sz w:val="24"/>
          <w:lang w:val="en-US" w:eastAsia="zh-CN"/>
        </w:rPr>
        <w:t>对</w:t>
      </w:r>
      <w:r>
        <w:rPr>
          <w:rFonts w:hint="default" w:ascii="Times New Roman" w:hAnsi="Times New Roman" w:cs="Times New Roman"/>
          <w:sz w:val="24"/>
        </w:rPr>
        <w:t>非甲烷总烃、氨、硫化氢、臭气浓度去除率</w:t>
      </w:r>
      <w:r>
        <w:rPr>
          <w:rFonts w:hint="eastAsia" w:ascii="Times New Roman" w:hAnsi="Times New Roman" w:cs="Times New Roman"/>
          <w:sz w:val="24"/>
          <w:lang w:val="en-US" w:eastAsia="zh-CN"/>
        </w:rPr>
        <w:t>60</w:t>
      </w:r>
      <w:r>
        <w:rPr>
          <w:rFonts w:hint="default" w:ascii="Times New Roman" w:hAnsi="Times New Roman" w:cs="Times New Roman"/>
          <w:sz w:val="24"/>
        </w:rPr>
        <w:t>%，</w:t>
      </w:r>
      <w:r>
        <w:rPr>
          <w:rFonts w:hint="default" w:ascii="Times New Roman" w:hAnsi="Times New Roman" w:cs="Times New Roman"/>
          <w:kern w:val="0"/>
          <w:sz w:val="24"/>
          <w:lang w:val="en-US" w:eastAsia="zh-CN"/>
        </w:rPr>
        <w:t>活性炭吸附</w:t>
      </w:r>
      <w:r>
        <w:rPr>
          <w:rFonts w:hint="eastAsia" w:ascii="Times New Roman" w:hAnsi="Times New Roman" w:cs="Times New Roman"/>
          <w:kern w:val="0"/>
          <w:sz w:val="24"/>
          <w:lang w:val="en-US" w:eastAsia="zh-CN"/>
        </w:rPr>
        <w:t>吸附效率为90%，</w:t>
      </w:r>
      <w:r>
        <w:rPr>
          <w:rFonts w:hint="default" w:ascii="Times New Roman" w:hAnsi="Times New Roman" w:cs="Times New Roman"/>
          <w:sz w:val="24"/>
        </w:rPr>
        <w:t>处理车间废气源强及排放数据类比《平顶山市益洁环保科技有限公司新建医疗废物处置中心项目竣工环境保护验收监测报告》（2021年7月）中相关数据，类比可行性分析见2.3.3.1废气章节，按照类比及计算结果，项目医废处理车间有组织废气非甲烷总烃排放浓度可满足《医疗废物处理处置污染控制标准》（GB39707--2020）表3中20mg/m</w:t>
      </w:r>
      <w:r>
        <w:rPr>
          <w:rFonts w:hint="default" w:ascii="Times New Roman" w:hAnsi="Times New Roman" w:cs="Times New Roman"/>
          <w:sz w:val="24"/>
          <w:vertAlign w:val="superscript"/>
        </w:rPr>
        <w:t>3</w:t>
      </w:r>
      <w:r>
        <w:rPr>
          <w:rFonts w:hint="default" w:ascii="Times New Roman" w:hAnsi="Times New Roman" w:cs="Times New Roman"/>
          <w:sz w:val="24"/>
        </w:rPr>
        <w:t>排放限值要求；NH</w:t>
      </w:r>
      <w:r>
        <w:rPr>
          <w:rFonts w:hint="default" w:ascii="Times New Roman" w:hAnsi="Times New Roman" w:cs="Times New Roman"/>
          <w:sz w:val="24"/>
          <w:vertAlign w:val="subscript"/>
        </w:rPr>
        <w:t>3</w:t>
      </w:r>
      <w:r>
        <w:rPr>
          <w:rFonts w:hint="default" w:ascii="Times New Roman" w:hAnsi="Times New Roman" w:cs="Times New Roman"/>
          <w:sz w:val="24"/>
        </w:rPr>
        <w:t>、H</w:t>
      </w:r>
      <w:r>
        <w:rPr>
          <w:rFonts w:hint="default" w:ascii="Times New Roman" w:hAnsi="Times New Roman" w:cs="Times New Roman"/>
          <w:sz w:val="24"/>
          <w:vertAlign w:val="subscript"/>
        </w:rPr>
        <w:t>2</w:t>
      </w:r>
      <w:r>
        <w:rPr>
          <w:rFonts w:hint="default" w:ascii="Times New Roman" w:hAnsi="Times New Roman" w:cs="Times New Roman"/>
          <w:sz w:val="24"/>
        </w:rPr>
        <w:t>S、臭气浓度排放可满足《恶臭污染物排放标准》（GB14554-93）表2中排放标准值；颗粒物可以满足表2中二级排放限值120mg/m</w:t>
      </w:r>
      <w:r>
        <w:rPr>
          <w:rFonts w:hint="default" w:ascii="Times New Roman" w:hAnsi="Times New Roman" w:cs="Times New Roman"/>
          <w:sz w:val="24"/>
          <w:vertAlign w:val="superscript"/>
        </w:rPr>
        <w:t>3</w:t>
      </w:r>
      <w:r>
        <w:rPr>
          <w:rFonts w:hint="default" w:ascii="Times New Roman" w:hAnsi="Times New Roman" w:cs="Times New Roman"/>
          <w:sz w:val="24"/>
        </w:rPr>
        <w:t>限值。</w:t>
      </w:r>
      <w:r>
        <w:rPr>
          <w:rFonts w:hint="eastAsia"/>
          <w:kern w:val="0"/>
          <w:sz w:val="24"/>
        </w:rPr>
        <w:t>同时项目废气“</w:t>
      </w:r>
      <w:r>
        <w:rPr>
          <w:rFonts w:hint="default" w:ascii="Times New Roman" w:hAnsi="Times New Roman" w:cs="Times New Roman"/>
          <w:kern w:val="0"/>
          <w:sz w:val="24"/>
          <w:lang w:val="en-US" w:eastAsia="zh-CN"/>
        </w:rPr>
        <w:t>雾化喷淋</w:t>
      </w:r>
      <w:r>
        <w:rPr>
          <w:rFonts w:hint="default" w:ascii="Times New Roman" w:hAnsi="Times New Roman" w:cs="Times New Roman"/>
          <w:kern w:val="0"/>
          <w:sz w:val="24"/>
        </w:rPr>
        <w:t>＋UV 光氧催化＋</w:t>
      </w:r>
      <w:r>
        <w:rPr>
          <w:rFonts w:hint="default" w:ascii="Times New Roman" w:hAnsi="Times New Roman" w:cs="Times New Roman"/>
          <w:kern w:val="0"/>
          <w:sz w:val="24"/>
          <w:lang w:val="en-US" w:eastAsia="zh-CN"/>
        </w:rPr>
        <w:t>活性炭吸附</w:t>
      </w:r>
      <w:r>
        <w:rPr>
          <w:rFonts w:hint="eastAsia"/>
          <w:kern w:val="0"/>
          <w:sz w:val="24"/>
        </w:rPr>
        <w:t>”处理设施，满足</w:t>
      </w:r>
      <w:r>
        <w:rPr>
          <w:sz w:val="24"/>
        </w:rPr>
        <w:t>《</w:t>
      </w:r>
      <w:r>
        <w:rPr>
          <w:rFonts w:hint="eastAsia"/>
          <w:sz w:val="24"/>
        </w:rPr>
        <w:t>医疗废物处理</w:t>
      </w:r>
      <w:r>
        <w:rPr>
          <w:rFonts w:hint="default" w:ascii="Times New Roman" w:hAnsi="Times New Roman" w:cs="Times New Roman"/>
          <w:sz w:val="24"/>
        </w:rPr>
        <w:t>处置污染防治最佳可行技术指南》（2011年2月）中废气采用活性炭吸附</w:t>
      </w:r>
      <w:r>
        <w:rPr>
          <w:rFonts w:hint="default" w:ascii="Times New Roman" w:hAnsi="Times New Roman" w:cs="Times New Roman"/>
          <w:sz w:val="24"/>
          <w:lang w:val="en-US" w:eastAsia="zh-CN"/>
        </w:rPr>
        <w:t>技术</w:t>
      </w:r>
      <w:r>
        <w:rPr>
          <w:rFonts w:hint="default" w:ascii="Times New Roman" w:hAnsi="Times New Roman" w:cs="Times New Roman"/>
          <w:sz w:val="24"/>
        </w:rPr>
        <w:t>要求，本项目并增设</w:t>
      </w:r>
      <w:r>
        <w:rPr>
          <w:rFonts w:hint="default" w:ascii="Times New Roman" w:hAnsi="Times New Roman" w:cs="Times New Roman"/>
          <w:kern w:val="0"/>
          <w:sz w:val="24"/>
        </w:rPr>
        <w:t>UV 光氧催化</w:t>
      </w:r>
      <w:r>
        <w:rPr>
          <w:rFonts w:hint="eastAsia" w:ascii="Times New Roman" w:hAnsi="Times New Roman" w:cs="Times New Roman"/>
          <w:kern w:val="0"/>
          <w:sz w:val="24"/>
          <w:lang w:val="en-US" w:eastAsia="zh-CN"/>
        </w:rPr>
        <w:t>及雾化喷淋</w:t>
      </w:r>
      <w:r>
        <w:rPr>
          <w:rFonts w:hint="eastAsia"/>
          <w:kern w:val="0"/>
          <w:sz w:val="24"/>
        </w:rPr>
        <w:t>设施，</w:t>
      </w:r>
      <w:r>
        <w:rPr>
          <w:rFonts w:hint="eastAsia"/>
          <w:sz w:val="24"/>
        </w:rPr>
        <w:t>因此</w:t>
      </w:r>
      <w:r>
        <w:rPr>
          <w:sz w:val="24"/>
        </w:rPr>
        <w:t>本项目采用的废气处理措施可行。</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sz w:val="24"/>
        </w:rPr>
        <w:t>按照《排污许可证申请与核发技术规范 工业固体废物和危险废物治理》（HJ1033-2019）附录C表C.4医疗废物处置排污单位废气治理可行技术参考表，</w:t>
      </w:r>
      <w:r>
        <w:rPr>
          <w:rFonts w:hint="eastAsia"/>
          <w:sz w:val="24"/>
          <w:lang w:val="en-US" w:eastAsia="zh-CN"/>
        </w:rPr>
        <w:t>高温蒸汽</w:t>
      </w:r>
      <w:r>
        <w:rPr>
          <w:rFonts w:hint="eastAsia"/>
          <w:sz w:val="24"/>
        </w:rPr>
        <w:t>消毒处理单元破碎污染物种类为颗粒物，可行技术为袋式除尘；</w:t>
      </w:r>
      <w:r>
        <w:rPr>
          <w:rFonts w:hint="eastAsia"/>
          <w:sz w:val="24"/>
          <w:lang w:val="en-US" w:eastAsia="zh-CN"/>
        </w:rPr>
        <w:t>高温蒸汽</w:t>
      </w:r>
      <w:r>
        <w:rPr>
          <w:rFonts w:hint="eastAsia"/>
          <w:sz w:val="24"/>
        </w:rPr>
        <w:t>消毒过程污染物种</w:t>
      </w:r>
      <w:r>
        <w:rPr>
          <w:rFonts w:hint="default" w:ascii="Times New Roman" w:hAnsi="Times New Roman" w:cs="Times New Roman"/>
          <w:sz w:val="24"/>
        </w:rPr>
        <w:t>类为非甲烷总烃，可行技术为吸附+燃烧/催化氧化等，污染物种类氨、硫化氢、臭气浓度，可行技术为生物过滤、化学洗涤、活性炭吸附</w:t>
      </w:r>
      <w:r>
        <w:rPr>
          <w:rFonts w:hint="eastAsia" w:ascii="Times New Roman" w:hAnsi="Times New Roman" w:cs="Times New Roman"/>
          <w:sz w:val="24"/>
          <w:lang w:eastAsia="zh-CN"/>
        </w:rPr>
        <w:t>。</w:t>
      </w:r>
      <w:r>
        <w:rPr>
          <w:rFonts w:hint="default" w:ascii="Times New Roman" w:hAnsi="Times New Roman" w:cs="Times New Roman"/>
          <w:sz w:val="24"/>
        </w:rPr>
        <w:t>本项目破碎、</w:t>
      </w:r>
      <w:r>
        <w:rPr>
          <w:rFonts w:hint="eastAsia" w:ascii="Times New Roman" w:hAnsi="Times New Roman" w:cs="Times New Roman"/>
          <w:sz w:val="24"/>
          <w:lang w:val="en-US" w:eastAsia="zh-CN"/>
        </w:rPr>
        <w:t>高温蒸汽</w:t>
      </w:r>
      <w:r>
        <w:rPr>
          <w:rFonts w:hint="default" w:ascii="Times New Roman" w:hAnsi="Times New Roman" w:cs="Times New Roman"/>
          <w:sz w:val="24"/>
        </w:rPr>
        <w:t>消毒废气统一收集经</w:t>
      </w:r>
      <w:r>
        <w:rPr>
          <w:rFonts w:hint="default" w:ascii="Times New Roman" w:hAnsi="Times New Roman" w:cs="Times New Roman"/>
          <w:sz w:val="24"/>
          <w:szCs w:val="21"/>
        </w:rPr>
        <w:t>“</w:t>
      </w:r>
      <w:r>
        <w:rPr>
          <w:rFonts w:hint="default" w:ascii="Times New Roman" w:hAnsi="Times New Roman" w:cs="Times New Roman"/>
          <w:kern w:val="0"/>
          <w:sz w:val="24"/>
          <w:lang w:val="en-US" w:eastAsia="zh-CN"/>
        </w:rPr>
        <w:t>雾化喷淋</w:t>
      </w:r>
      <w:r>
        <w:rPr>
          <w:rFonts w:hint="default" w:ascii="Times New Roman" w:hAnsi="Times New Roman" w:cs="Times New Roman"/>
          <w:kern w:val="0"/>
          <w:sz w:val="24"/>
        </w:rPr>
        <w:t>＋UV 光氧催化＋</w:t>
      </w:r>
      <w:r>
        <w:rPr>
          <w:rFonts w:hint="default" w:ascii="Times New Roman" w:hAnsi="Times New Roman" w:cs="Times New Roman"/>
          <w:kern w:val="0"/>
          <w:sz w:val="24"/>
          <w:lang w:val="en-US" w:eastAsia="zh-CN"/>
        </w:rPr>
        <w:t>活性炭吸附</w:t>
      </w:r>
      <w:r>
        <w:rPr>
          <w:rFonts w:hint="default" w:ascii="Times New Roman" w:hAnsi="Times New Roman" w:cs="Times New Roman"/>
          <w:sz w:val="24"/>
          <w:szCs w:val="21"/>
        </w:rPr>
        <w:t>”处理，本项目废气处理技术为可行技术</w:t>
      </w:r>
    </w:p>
    <w:p>
      <w:pPr>
        <w:spacing w:line="360" w:lineRule="auto"/>
        <w:rPr>
          <w:rFonts w:hint="eastAsia" w:ascii="Times New Roman" w:hAnsi="Times New Roman" w:eastAsia="宋体" w:cs="Times New Roman"/>
          <w:sz w:val="24"/>
          <w:szCs w:val="24"/>
          <w:lang w:val="en-US" w:eastAsia="zh-CN"/>
        </w:rPr>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pPr>
    </w:p>
    <w:p>
      <w:pPr>
        <w:ind w:firstLine="211" w:firstLineChars="100"/>
        <w:jc w:val="center"/>
        <w:rPr>
          <w:rFonts w:hint="default" w:ascii="Times New Roman" w:hAnsi="Times New Roman" w:cs="Times New Roman"/>
          <w:b/>
          <w:szCs w:val="21"/>
        </w:rPr>
      </w:pPr>
      <w:r>
        <w:rPr>
          <w:rFonts w:hint="default" w:ascii="Times New Roman" w:hAnsi="Times New Roman" w:cs="Times New Roman"/>
          <w:b/>
          <w:szCs w:val="21"/>
        </w:rPr>
        <w:t>表6.2-1   废气处理方案比选一览表</w:t>
      </w:r>
    </w:p>
    <w:tbl>
      <w:tblPr>
        <w:tblStyle w:val="20"/>
        <w:tblW w:w="0" w:type="auto"/>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46"/>
        <w:gridCol w:w="2489"/>
        <w:gridCol w:w="2367"/>
        <w:gridCol w:w="1783"/>
        <w:gridCol w:w="3647"/>
        <w:gridCol w:w="332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方法</w:t>
            </w:r>
          </w:p>
        </w:tc>
        <w:tc>
          <w:tcPr>
            <w:tcW w:w="2489"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高效光解氧化法</w:t>
            </w:r>
          </w:p>
        </w:tc>
        <w:tc>
          <w:tcPr>
            <w:tcW w:w="2367"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生物法</w:t>
            </w:r>
          </w:p>
        </w:tc>
        <w:tc>
          <w:tcPr>
            <w:tcW w:w="1783"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高效过滤+活性</w:t>
            </w:r>
          </w:p>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炭吸附法</w:t>
            </w:r>
          </w:p>
        </w:tc>
        <w:tc>
          <w:tcPr>
            <w:tcW w:w="3647"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等离子法</w:t>
            </w:r>
          </w:p>
        </w:tc>
        <w:tc>
          <w:tcPr>
            <w:tcW w:w="3321"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喷淋法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工作原理</w:t>
            </w:r>
          </w:p>
        </w:tc>
        <w:tc>
          <w:tcPr>
            <w:tcW w:w="2489"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利用高能 UV 紫外线光，裂解恶臭物质分子及空气中的氧分子产生游离氧，与氧分子结合产生臭氧，通过高能紫外线和臭氧对恶臭气体进行协同光解氧化作用，使恶臭气体降解为低分子化合物、水和二氧化碳</w:t>
            </w:r>
          </w:p>
        </w:tc>
        <w:tc>
          <w:tcPr>
            <w:tcW w:w="2367"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利用培养出的微生物，将恶臭</w:t>
            </w:r>
          </w:p>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气体中的有机污染物质，降解</w:t>
            </w:r>
          </w:p>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或转化为无害或低害类物质</w:t>
            </w:r>
          </w:p>
        </w:tc>
        <w:tc>
          <w:tcPr>
            <w:tcW w:w="1783"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经高效过滤器过滤后，再利用活性炭内部孔隙结构发达，有巨大比表面积来吸附有害气体分子</w:t>
            </w:r>
          </w:p>
        </w:tc>
        <w:tc>
          <w:tcPr>
            <w:tcW w:w="3647"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利用电子、离子、自由基和中性粒子小于分子，能够顺利进入分子内部，打开分子链，破坏分子结构的原理，以每秒钟300 万至 3000 万速度的等量发射和回收，轰击发生臭气的分子，从而发生氧化等一系列复杂的化学反应，将有害物转化为无害物质</w:t>
            </w:r>
          </w:p>
        </w:tc>
        <w:tc>
          <w:tcPr>
            <w:tcW w:w="3321"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通过喷淋塔将恶臭气体捕捉到液体（可以是清水、化学试剂溶液、强氧化剂溶液或是有机溶剂）中，附着于颗粒物质上的臭气分子通过湿法吸收氧化后被从空气中去除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净化效率</w:t>
            </w:r>
          </w:p>
        </w:tc>
        <w:tc>
          <w:tcPr>
            <w:tcW w:w="2489"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H</w:t>
            </w:r>
            <w:r>
              <w:rPr>
                <w:rFonts w:hint="default" w:ascii="Times New Roman" w:hAnsi="Times New Roman" w:cs="Times New Roman"/>
                <w:color w:val="000000"/>
                <w:kern w:val="0"/>
                <w:sz w:val="12"/>
                <w:szCs w:val="12"/>
              </w:rPr>
              <w:t>2</w:t>
            </w:r>
            <w:r>
              <w:rPr>
                <w:rFonts w:hint="default" w:ascii="Times New Roman" w:hAnsi="Times New Roman" w:cs="Times New Roman"/>
                <w:color w:val="000000"/>
                <w:kern w:val="0"/>
                <w:sz w:val="18"/>
                <w:szCs w:val="18"/>
              </w:rPr>
              <w:t>S 净化效率大于80%、NH</w:t>
            </w:r>
            <w:r>
              <w:rPr>
                <w:rFonts w:hint="default" w:ascii="Times New Roman" w:hAnsi="Times New Roman" w:cs="Times New Roman"/>
                <w:color w:val="000000"/>
                <w:kern w:val="0"/>
                <w:sz w:val="12"/>
                <w:szCs w:val="12"/>
              </w:rPr>
              <w:t>3</w:t>
            </w:r>
            <w:r>
              <w:rPr>
                <w:rFonts w:hint="default" w:ascii="Times New Roman" w:hAnsi="Times New Roman" w:cs="Times New Roman"/>
                <w:color w:val="000000"/>
                <w:kern w:val="0"/>
                <w:sz w:val="18"/>
                <w:szCs w:val="18"/>
              </w:rPr>
              <w:t>净化效率大于90%、VOC 净化效率大于70%，</w:t>
            </w:r>
          </w:p>
        </w:tc>
        <w:tc>
          <w:tcPr>
            <w:tcW w:w="2367"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根据微生物种类，对污染物净</w:t>
            </w:r>
          </w:p>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化效率80%~95%，随微生物活性降低除臭效率降低，对高浓度气体处理效果不理想</w:t>
            </w:r>
          </w:p>
        </w:tc>
        <w:tc>
          <w:tcPr>
            <w:tcW w:w="1783"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H</w:t>
            </w:r>
            <w:r>
              <w:rPr>
                <w:rFonts w:hint="default" w:ascii="Times New Roman" w:hAnsi="Times New Roman" w:cs="Times New Roman"/>
                <w:color w:val="000000"/>
                <w:kern w:val="0"/>
                <w:sz w:val="12"/>
                <w:szCs w:val="12"/>
              </w:rPr>
              <w:t>2</w:t>
            </w:r>
            <w:r>
              <w:rPr>
                <w:rFonts w:hint="default" w:ascii="Times New Roman" w:hAnsi="Times New Roman" w:cs="Times New Roman"/>
                <w:color w:val="000000"/>
                <w:kern w:val="0"/>
                <w:sz w:val="18"/>
                <w:szCs w:val="18"/>
              </w:rPr>
              <w:t>S 净化效率大于 70%、NH</w:t>
            </w:r>
            <w:r>
              <w:rPr>
                <w:rFonts w:hint="default" w:ascii="Times New Roman" w:hAnsi="Times New Roman" w:cs="Times New Roman"/>
                <w:color w:val="000000"/>
                <w:kern w:val="0"/>
                <w:sz w:val="12"/>
                <w:szCs w:val="12"/>
              </w:rPr>
              <w:t>3</w:t>
            </w:r>
            <w:r>
              <w:rPr>
                <w:rFonts w:hint="default" w:ascii="Times New Roman" w:hAnsi="Times New Roman" w:cs="Times New Roman"/>
                <w:color w:val="000000"/>
                <w:kern w:val="0"/>
                <w:sz w:val="18"/>
                <w:szCs w:val="18"/>
              </w:rPr>
              <w:t>净化效率大于80%、VOC 净化效率大于60%，</w:t>
            </w:r>
          </w:p>
        </w:tc>
        <w:tc>
          <w:tcPr>
            <w:tcW w:w="3647"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适合低浓度的混合气体净化，H</w:t>
            </w:r>
            <w:r>
              <w:rPr>
                <w:rFonts w:hint="default" w:ascii="Times New Roman" w:hAnsi="Times New Roman" w:cs="Times New Roman"/>
                <w:color w:val="000000"/>
                <w:kern w:val="0"/>
                <w:sz w:val="12"/>
                <w:szCs w:val="12"/>
              </w:rPr>
              <w:t>2</w:t>
            </w:r>
            <w:r>
              <w:rPr>
                <w:rFonts w:hint="default" w:ascii="Times New Roman" w:hAnsi="Times New Roman" w:cs="Times New Roman"/>
                <w:color w:val="000000"/>
                <w:kern w:val="0"/>
                <w:sz w:val="18"/>
                <w:szCs w:val="18"/>
              </w:rPr>
              <w:t>S 净化效率95%、NH</w:t>
            </w:r>
            <w:r>
              <w:rPr>
                <w:rFonts w:hint="default" w:ascii="Times New Roman" w:hAnsi="Times New Roman" w:cs="Times New Roman"/>
                <w:color w:val="000000"/>
                <w:kern w:val="0"/>
                <w:sz w:val="12"/>
                <w:szCs w:val="12"/>
              </w:rPr>
              <w:t>3</w:t>
            </w:r>
            <w:r>
              <w:rPr>
                <w:rFonts w:hint="default" w:ascii="Times New Roman" w:hAnsi="Times New Roman" w:cs="Times New Roman"/>
                <w:color w:val="000000"/>
                <w:kern w:val="0"/>
                <w:sz w:val="18"/>
                <w:szCs w:val="18"/>
              </w:rPr>
              <w:t xml:space="preserve"> 净化效率90%、VOC 净化效率95%</w:t>
            </w:r>
          </w:p>
        </w:tc>
        <w:tc>
          <w:tcPr>
            <w:tcW w:w="3321"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对低浓度、大风量恶臭气体处理效果较好，H</w:t>
            </w:r>
            <w:r>
              <w:rPr>
                <w:rFonts w:hint="default" w:ascii="Times New Roman" w:hAnsi="Times New Roman" w:cs="Times New Roman"/>
                <w:color w:val="000000"/>
                <w:kern w:val="0"/>
                <w:sz w:val="12"/>
                <w:szCs w:val="12"/>
              </w:rPr>
              <w:t>2</w:t>
            </w:r>
            <w:r>
              <w:rPr>
                <w:rFonts w:hint="default" w:ascii="Times New Roman" w:hAnsi="Times New Roman" w:cs="Times New Roman"/>
                <w:color w:val="000000"/>
                <w:kern w:val="0"/>
                <w:sz w:val="18"/>
                <w:szCs w:val="18"/>
              </w:rPr>
              <w:t>S净化效率 80%、NH</w:t>
            </w:r>
            <w:r>
              <w:rPr>
                <w:rFonts w:hint="default" w:ascii="Times New Roman" w:hAnsi="Times New Roman" w:cs="Times New Roman"/>
                <w:color w:val="000000"/>
                <w:kern w:val="0"/>
                <w:sz w:val="12"/>
                <w:szCs w:val="12"/>
              </w:rPr>
              <w:t>3</w:t>
            </w:r>
            <w:r>
              <w:rPr>
                <w:rFonts w:hint="default" w:ascii="Times New Roman" w:hAnsi="Times New Roman" w:cs="Times New Roman"/>
                <w:color w:val="000000"/>
                <w:kern w:val="0"/>
                <w:sz w:val="18"/>
                <w:szCs w:val="18"/>
              </w:rPr>
              <w:t xml:space="preserve"> 净化效率75%、VOC 净化效率 60%，浓度高时处理效果不太理想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处理气体</w:t>
            </w:r>
          </w:p>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成分</w:t>
            </w:r>
          </w:p>
        </w:tc>
        <w:tc>
          <w:tcPr>
            <w:tcW w:w="2489"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能处理大多数成分复杂的有机废气及臭气</w:t>
            </w:r>
          </w:p>
        </w:tc>
        <w:tc>
          <w:tcPr>
            <w:tcW w:w="2367"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需要培养专门微生物处理，只</w:t>
            </w:r>
          </w:p>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能处理一种或几种性质相近的气体</w:t>
            </w:r>
          </w:p>
        </w:tc>
        <w:tc>
          <w:tcPr>
            <w:tcW w:w="1783"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适用于低浓度、大风量臭气，能处理大多数成</w:t>
            </w:r>
          </w:p>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分复杂的有机废气及臭气</w:t>
            </w:r>
          </w:p>
        </w:tc>
        <w:tc>
          <w:tcPr>
            <w:tcW w:w="3647"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能处理各种混合气体，但对高浓度易燃易爆废气，极易引起爆炸</w:t>
            </w:r>
          </w:p>
        </w:tc>
        <w:tc>
          <w:tcPr>
            <w:tcW w:w="3321"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需根据处理气体的种类选用不同的喷淋液，处理种类单一</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占地面积</w:t>
            </w:r>
          </w:p>
        </w:tc>
        <w:tc>
          <w:tcPr>
            <w:tcW w:w="2489"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中</w:t>
            </w:r>
          </w:p>
        </w:tc>
        <w:tc>
          <w:tcPr>
            <w:tcW w:w="2367"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大</w:t>
            </w:r>
          </w:p>
        </w:tc>
        <w:tc>
          <w:tcPr>
            <w:tcW w:w="1783"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小</w:t>
            </w:r>
          </w:p>
        </w:tc>
        <w:tc>
          <w:tcPr>
            <w:tcW w:w="3647"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中</w:t>
            </w:r>
          </w:p>
        </w:tc>
        <w:tc>
          <w:tcPr>
            <w:tcW w:w="3321"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经济效益</w:t>
            </w:r>
          </w:p>
        </w:tc>
        <w:tc>
          <w:tcPr>
            <w:tcW w:w="2489"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维护复杂、设备成本较高、运行费用较低</w:t>
            </w:r>
          </w:p>
        </w:tc>
        <w:tc>
          <w:tcPr>
            <w:tcW w:w="2367"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维护复杂、设备成本较低、运行费用较高</w:t>
            </w:r>
          </w:p>
        </w:tc>
        <w:tc>
          <w:tcPr>
            <w:tcW w:w="1783"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维护简便、设备成本较低、运行费用较低</w:t>
            </w:r>
          </w:p>
        </w:tc>
        <w:tc>
          <w:tcPr>
            <w:tcW w:w="3647"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用电量大，维护复杂、设备成本及运行费用较低</w:t>
            </w:r>
          </w:p>
        </w:tc>
        <w:tc>
          <w:tcPr>
            <w:tcW w:w="3321" w:type="dxa"/>
            <w:shd w:val="clear" w:color="auto" w:fill="FFFFFF"/>
            <w:noWrap w:val="0"/>
            <w:vAlign w:val="center"/>
          </w:tcPr>
          <w:p>
            <w:pPr>
              <w:autoSpaceDE w:val="0"/>
              <w:autoSpaceDN w:val="0"/>
              <w:adjustRightInd w:val="0"/>
              <w:snapToGrid w:val="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维护复杂、设备成本较低、运行费用较高</w:t>
            </w:r>
          </w:p>
        </w:tc>
      </w:tr>
    </w:tbl>
    <w:p>
      <w:pPr>
        <w:pStyle w:val="2"/>
        <w:ind w:left="0" w:leftChars="0" w:firstLine="0" w:firstLineChars="0"/>
        <w:rPr>
          <w:rFonts w:hint="eastAsia"/>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28"/>
        <w:rPr>
          <w:rFonts w:hint="eastAsia" w:ascii="Times New Roman" w:hAnsi="Times New Roman"/>
        </w:rPr>
      </w:pPr>
      <w:r>
        <w:rPr>
          <w:rFonts w:hint="eastAsia" w:ascii="Times New Roman" w:hAnsi="Times New Roman"/>
        </w:rPr>
        <w:t>6</w:t>
      </w:r>
      <w:r>
        <w:rPr>
          <w:rFonts w:ascii="Times New Roman" w:hAnsi="Times New Roman"/>
        </w:rPr>
        <w:t>.</w:t>
      </w:r>
      <w:r>
        <w:rPr>
          <w:rFonts w:hint="eastAsia" w:ascii="Times New Roman" w:hAnsi="Times New Roman"/>
        </w:rPr>
        <w:t>2.</w:t>
      </w:r>
      <w:r>
        <w:rPr>
          <w:rFonts w:ascii="Times New Roman" w:hAnsi="Times New Roman"/>
        </w:rPr>
        <w:t>1.2</w:t>
      </w:r>
      <w:r>
        <w:rPr>
          <w:rFonts w:hint="eastAsia" w:ascii="Times New Roman" w:hAnsi="Times New Roman"/>
        </w:rPr>
        <w:t>无组织废气</w:t>
      </w:r>
      <w:r>
        <w:rPr>
          <w:rFonts w:ascii="Times New Roman" w:hAnsi="Times New Roman"/>
        </w:rPr>
        <w:t>防治措施</w:t>
      </w:r>
      <w:r>
        <w:rPr>
          <w:rFonts w:hint="eastAsia" w:ascii="Times New Roman" w:hAnsi="Times New Roman"/>
        </w:rPr>
        <w:t>及其可行性分析</w:t>
      </w:r>
    </w:p>
    <w:p>
      <w:pPr>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rPr>
        <w:t>本项目处理车间微负压</w:t>
      </w:r>
      <w:r>
        <w:rPr>
          <w:rFonts w:hint="eastAsia" w:ascii="Times New Roman" w:hAnsi="Times New Roman" w:cs="Times New Roman"/>
          <w:sz w:val="24"/>
          <w:lang w:val="en-US" w:eastAsia="zh-CN"/>
        </w:rPr>
        <w:t>且各设备出入料口均设有集气罩</w:t>
      </w:r>
      <w:r>
        <w:rPr>
          <w:rFonts w:hint="default" w:ascii="Times New Roman" w:hAnsi="Times New Roman" w:cs="Times New Roman"/>
          <w:sz w:val="24"/>
        </w:rPr>
        <w:t>，但转运车辆进出处理车间、消毒清洗间等会有少量无组织气体散逸，主要污染物为非甲烷总烃、颗粒物、NH</w:t>
      </w:r>
      <w:r>
        <w:rPr>
          <w:rFonts w:hint="default" w:ascii="Times New Roman" w:hAnsi="Times New Roman" w:cs="Times New Roman"/>
          <w:sz w:val="24"/>
          <w:vertAlign w:val="subscript"/>
        </w:rPr>
        <w:t>3</w:t>
      </w:r>
      <w:r>
        <w:rPr>
          <w:rFonts w:hint="default" w:ascii="Times New Roman" w:hAnsi="Times New Roman" w:cs="Times New Roman"/>
          <w:sz w:val="24"/>
        </w:rPr>
        <w:t>、H</w:t>
      </w:r>
      <w:r>
        <w:rPr>
          <w:rFonts w:hint="default" w:ascii="Times New Roman" w:hAnsi="Times New Roman" w:cs="Times New Roman"/>
          <w:sz w:val="24"/>
          <w:vertAlign w:val="subscript"/>
        </w:rPr>
        <w:t>2</w:t>
      </w:r>
      <w:r>
        <w:rPr>
          <w:rFonts w:hint="default" w:ascii="Times New Roman" w:hAnsi="Times New Roman" w:cs="Times New Roman"/>
          <w:sz w:val="24"/>
        </w:rPr>
        <w:t>S、臭气浓度，本项目处理车间内废气处理系统设</w:t>
      </w:r>
      <w:r>
        <w:rPr>
          <w:rFonts w:hint="default" w:ascii="Times New Roman" w:hAnsi="Times New Roman" w:cs="Times New Roman"/>
          <w:kern w:val="0"/>
          <w:sz w:val="24"/>
        </w:rPr>
        <w:t>“</w:t>
      </w:r>
      <w:r>
        <w:rPr>
          <w:rFonts w:hint="default" w:ascii="Times New Roman" w:hAnsi="Times New Roman" w:cs="Times New Roman"/>
          <w:kern w:val="0"/>
          <w:sz w:val="24"/>
          <w:lang w:val="en-US" w:eastAsia="zh-CN"/>
        </w:rPr>
        <w:t>雾化喷淋</w:t>
      </w:r>
      <w:r>
        <w:rPr>
          <w:rFonts w:hint="default" w:ascii="Times New Roman" w:hAnsi="Times New Roman" w:cs="Times New Roman"/>
          <w:kern w:val="0"/>
          <w:sz w:val="24"/>
        </w:rPr>
        <w:t>＋UV 光氧催化＋</w:t>
      </w:r>
      <w:r>
        <w:rPr>
          <w:rFonts w:hint="default" w:ascii="Times New Roman" w:hAnsi="Times New Roman" w:cs="Times New Roman"/>
          <w:kern w:val="0"/>
          <w:sz w:val="24"/>
          <w:lang w:val="en-US" w:eastAsia="zh-CN"/>
        </w:rPr>
        <w:t>活性炭吸附</w:t>
      </w:r>
      <w:r>
        <w:rPr>
          <w:rFonts w:hint="default" w:ascii="Times New Roman" w:hAnsi="Times New Roman" w:cs="Times New Roman"/>
          <w:kern w:val="0"/>
          <w:sz w:val="24"/>
        </w:rPr>
        <w:t>”</w:t>
      </w:r>
      <w:r>
        <w:rPr>
          <w:rFonts w:hint="default" w:ascii="Times New Roman" w:hAnsi="Times New Roman" w:cs="Times New Roman"/>
          <w:sz w:val="24"/>
        </w:rPr>
        <w:t>（过滤尺度小于0.2μm），滤除其中可能存在的细菌（细菌去除率可达到99.999%），污水处理设施恶臭产排量较小，负压收集后无组织废气逸散量较小。</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本项目氨、硫化氢、臭气浓度厂界无组织限值满足</w:t>
      </w:r>
      <w:r>
        <w:rPr>
          <w:rFonts w:hint="default" w:ascii="Times New Roman" w:hAnsi="Times New Roman" w:cs="Times New Roman"/>
          <w:color w:val="000000"/>
          <w:sz w:val="24"/>
        </w:rPr>
        <w:t>《恶臭污染物排放标准》(GB14554-93)二级新扩改建中氨1.5</w:t>
      </w:r>
      <w:r>
        <w:rPr>
          <w:rFonts w:hint="default" w:ascii="Times New Roman" w:hAnsi="Times New Roman" w:cs="Times New Roman"/>
          <w:sz w:val="24"/>
        </w:rPr>
        <w:t>mg/</w:t>
      </w:r>
      <w:r>
        <w:rPr>
          <w:rFonts w:hint="default" w:ascii="Times New Roman" w:hAnsi="Times New Roman" w:cs="Times New Roman"/>
          <w:bCs/>
          <w:iCs/>
          <w:sz w:val="24"/>
        </w:rPr>
        <w:t>m</w:t>
      </w:r>
      <w:r>
        <w:rPr>
          <w:rFonts w:hint="default" w:ascii="Times New Roman" w:hAnsi="Times New Roman" w:cs="Times New Roman"/>
          <w:bCs/>
          <w:iCs/>
          <w:sz w:val="24"/>
          <w:vertAlign w:val="superscript"/>
        </w:rPr>
        <w:t>3</w:t>
      </w:r>
      <w:r>
        <w:rPr>
          <w:rFonts w:hint="default" w:ascii="Times New Roman" w:hAnsi="Times New Roman" w:cs="Times New Roman"/>
          <w:color w:val="000000"/>
          <w:sz w:val="24"/>
        </w:rPr>
        <w:t>、硫化氢0.06</w:t>
      </w:r>
      <w:r>
        <w:rPr>
          <w:rFonts w:hint="default" w:ascii="Times New Roman" w:hAnsi="Times New Roman" w:cs="Times New Roman"/>
          <w:sz w:val="24"/>
        </w:rPr>
        <w:t>mg/</w:t>
      </w:r>
      <w:r>
        <w:rPr>
          <w:rFonts w:hint="default" w:ascii="Times New Roman" w:hAnsi="Times New Roman" w:cs="Times New Roman"/>
          <w:bCs/>
          <w:iCs/>
          <w:sz w:val="24"/>
        </w:rPr>
        <w:t>m</w:t>
      </w:r>
      <w:r>
        <w:rPr>
          <w:rFonts w:hint="default" w:ascii="Times New Roman" w:hAnsi="Times New Roman" w:cs="Times New Roman"/>
          <w:bCs/>
          <w:iCs/>
          <w:sz w:val="24"/>
          <w:vertAlign w:val="superscript"/>
        </w:rPr>
        <w:t>3</w:t>
      </w:r>
      <w:r>
        <w:rPr>
          <w:rFonts w:hint="default" w:ascii="Times New Roman" w:hAnsi="Times New Roman" w:cs="Times New Roman"/>
          <w:color w:val="000000"/>
          <w:sz w:val="24"/>
        </w:rPr>
        <w:t>、臭气浓度20（无量纲）标准限值；颗粒物满足《大气污染物综合排放标准》(GB16297－1996)中1.0</w:t>
      </w:r>
      <w:r>
        <w:rPr>
          <w:rFonts w:hint="default" w:ascii="Times New Roman" w:hAnsi="Times New Roman" w:cs="Times New Roman"/>
          <w:sz w:val="24"/>
        </w:rPr>
        <w:t>mg/</w:t>
      </w:r>
      <w:r>
        <w:rPr>
          <w:rFonts w:hint="default" w:ascii="Times New Roman" w:hAnsi="Times New Roman" w:cs="Times New Roman"/>
          <w:bCs/>
          <w:iCs/>
          <w:sz w:val="24"/>
        </w:rPr>
        <w:t>m</w:t>
      </w:r>
      <w:r>
        <w:rPr>
          <w:rFonts w:hint="default" w:ascii="Times New Roman" w:hAnsi="Times New Roman" w:cs="Times New Roman"/>
          <w:bCs/>
          <w:iCs/>
          <w:sz w:val="24"/>
          <w:vertAlign w:val="superscript"/>
        </w:rPr>
        <w:t>3</w:t>
      </w:r>
      <w:r>
        <w:rPr>
          <w:rFonts w:hint="default" w:ascii="Times New Roman" w:hAnsi="Times New Roman" w:cs="Times New Roman"/>
          <w:color w:val="000000"/>
          <w:sz w:val="24"/>
        </w:rPr>
        <w:t>标准限值；非甲烷总烃周界外无组织浓度最高点满足《大气污染物综合排放标准》(GB16297－1996)表2新污染源大气污染物排放限值4.0</w:t>
      </w:r>
      <w:r>
        <w:rPr>
          <w:rFonts w:hint="default" w:ascii="Times New Roman" w:hAnsi="Times New Roman" w:cs="Times New Roman"/>
          <w:sz w:val="24"/>
        </w:rPr>
        <w:t>mg/</w:t>
      </w:r>
      <w:r>
        <w:rPr>
          <w:rFonts w:hint="default" w:ascii="Times New Roman" w:hAnsi="Times New Roman" w:cs="Times New Roman"/>
          <w:bCs/>
          <w:iCs/>
          <w:sz w:val="24"/>
        </w:rPr>
        <w:t>m</w:t>
      </w:r>
      <w:r>
        <w:rPr>
          <w:rFonts w:hint="default" w:ascii="Times New Roman" w:hAnsi="Times New Roman" w:cs="Times New Roman"/>
          <w:bCs/>
          <w:iCs/>
          <w:sz w:val="24"/>
          <w:vertAlign w:val="superscript"/>
        </w:rPr>
        <w:t>3</w:t>
      </w:r>
      <w:r>
        <w:rPr>
          <w:rFonts w:hint="default" w:ascii="Times New Roman" w:hAnsi="Times New Roman" w:cs="Times New Roman"/>
          <w:color w:val="000000"/>
          <w:sz w:val="24"/>
        </w:rPr>
        <w:t>，</w:t>
      </w:r>
      <w:r>
        <w:rPr>
          <w:rFonts w:hint="default" w:ascii="Times New Roman" w:hAnsi="Times New Roman" w:cs="Times New Roman"/>
          <w:kern w:val="0"/>
          <w:sz w:val="24"/>
        </w:rPr>
        <w:t>非甲烷总烃厂房外监控点1h平均浓度值执行《挥发性有机物无组织排放控制标准（GB37822-2019）中限值10</w:t>
      </w:r>
      <w:r>
        <w:rPr>
          <w:rFonts w:hint="default" w:ascii="Times New Roman" w:hAnsi="Times New Roman" w:cs="Times New Roman"/>
          <w:sz w:val="24"/>
        </w:rPr>
        <w:t>mg/</w:t>
      </w:r>
      <w:r>
        <w:rPr>
          <w:rFonts w:hint="default" w:ascii="Times New Roman" w:hAnsi="Times New Roman" w:cs="Times New Roman"/>
          <w:bCs/>
          <w:iCs/>
          <w:sz w:val="24"/>
        </w:rPr>
        <w:t>m</w:t>
      </w:r>
      <w:r>
        <w:rPr>
          <w:rFonts w:hint="default" w:ascii="Times New Roman" w:hAnsi="Times New Roman" w:cs="Times New Roman"/>
          <w:bCs/>
          <w:iCs/>
          <w:sz w:val="24"/>
          <w:vertAlign w:val="superscript"/>
        </w:rPr>
        <w:t>3</w:t>
      </w:r>
      <w:r>
        <w:rPr>
          <w:rFonts w:hint="default" w:ascii="Times New Roman" w:hAnsi="Times New Roman" w:cs="Times New Roman"/>
          <w:kern w:val="0"/>
          <w:sz w:val="24"/>
        </w:rPr>
        <w:t>。</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rPr>
        <w:t>因此，无组织废气的排放对外环境影响不大。车间操作人员需做好防护，尽量采用远程自动控制系统，减少与废气和医疗废物之间的近距离接触。</w:t>
      </w:r>
    </w:p>
    <w:p>
      <w:pPr>
        <w:pStyle w:val="6"/>
        <w:spacing w:before="0" w:after="0" w:line="360" w:lineRule="auto"/>
        <w:rPr>
          <w:rFonts w:hint="default" w:ascii="Times New Roman" w:hAnsi="Times New Roman" w:cs="Times New Roman"/>
          <w:kern w:val="0"/>
          <w:sz w:val="28"/>
        </w:rPr>
      </w:pPr>
      <w:bookmarkStart w:id="143" w:name="_Toc439257848"/>
      <w:bookmarkStart w:id="144" w:name="_Toc426048341"/>
      <w:bookmarkStart w:id="145" w:name="_Toc9624"/>
      <w:bookmarkStart w:id="146" w:name="_Toc16024"/>
      <w:r>
        <w:rPr>
          <w:rFonts w:hint="default" w:ascii="Times New Roman" w:hAnsi="Times New Roman" w:cs="Times New Roman"/>
          <w:kern w:val="0"/>
          <w:sz w:val="28"/>
        </w:rPr>
        <w:t>6.2.2废水污染防治措施</w:t>
      </w:r>
      <w:bookmarkEnd w:id="143"/>
      <w:bookmarkEnd w:id="144"/>
      <w:r>
        <w:rPr>
          <w:rFonts w:hint="default" w:ascii="Times New Roman" w:hAnsi="Times New Roman" w:cs="Times New Roman"/>
          <w:kern w:val="0"/>
          <w:sz w:val="28"/>
        </w:rPr>
        <w:t>及其可行性分析</w:t>
      </w:r>
      <w:bookmarkEnd w:id="145"/>
      <w:bookmarkEnd w:id="146"/>
    </w:p>
    <w:p>
      <w:pPr>
        <w:pStyle w:val="28"/>
        <w:rPr>
          <w:rFonts w:hint="eastAsia" w:ascii="Times New Roman" w:hAnsi="Times New Roman"/>
        </w:rPr>
      </w:pPr>
      <w:r>
        <w:rPr>
          <w:rFonts w:hint="eastAsia" w:ascii="Times New Roman" w:hAnsi="Times New Roman"/>
        </w:rPr>
        <w:t>6</w:t>
      </w:r>
      <w:r>
        <w:rPr>
          <w:rFonts w:ascii="Times New Roman" w:hAnsi="Times New Roman"/>
        </w:rPr>
        <w:t>.</w:t>
      </w:r>
      <w:r>
        <w:rPr>
          <w:rFonts w:hint="eastAsia" w:ascii="Times New Roman" w:hAnsi="Times New Roman"/>
        </w:rPr>
        <w:t>2.2</w:t>
      </w:r>
      <w:r>
        <w:rPr>
          <w:rFonts w:ascii="Times New Roman" w:hAnsi="Times New Roman"/>
        </w:rPr>
        <w:t>.1</w:t>
      </w:r>
      <w:r>
        <w:rPr>
          <w:rFonts w:hint="eastAsia" w:ascii="Times New Roman" w:hAnsi="Times New Roman"/>
        </w:rPr>
        <w:t>废水处理情况</w:t>
      </w:r>
    </w:p>
    <w:p>
      <w:pPr>
        <w:spacing w:line="360" w:lineRule="auto"/>
        <w:ind w:firstLine="480" w:firstLineChars="200"/>
        <w:rPr>
          <w:rFonts w:hint="eastAsia" w:ascii="Times New Roman" w:hAnsi="Times New Roman" w:eastAsia="宋体" w:cs="Times New Roman"/>
          <w:sz w:val="24"/>
          <w:szCs w:val="24"/>
          <w:lang w:val="en-US" w:eastAsia="zh-CN"/>
        </w:rPr>
      </w:pPr>
      <w:r>
        <w:rPr>
          <w:sz w:val="24"/>
        </w:rPr>
        <w:t>本项目</w:t>
      </w:r>
      <w:r>
        <w:rPr>
          <w:rFonts w:hint="eastAsia"/>
          <w:sz w:val="24"/>
        </w:rPr>
        <w:t>废水主要为生活污水、医废转运车消毒废水、周转箱消毒废水、地面消毒废水、医废转运车清洗废水、周转箱清洗废水、地面清洗废水、蒸汽发生器排水、电锅炉排污水、</w:t>
      </w:r>
      <w:r>
        <w:rPr>
          <w:rFonts w:hint="eastAsia"/>
          <w:sz w:val="24"/>
          <w:lang w:val="en-US" w:eastAsia="zh-CN"/>
        </w:rPr>
        <w:t>软水装置排污水、</w:t>
      </w:r>
      <w:r>
        <w:rPr>
          <w:rFonts w:hint="eastAsia"/>
          <w:sz w:val="24"/>
        </w:rPr>
        <w:t>初期雨水。</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考虑到初期雨水的污染性，初期雨水必须和处理中心其他废水一并进入污水处理设施处理，本项目初期雨水量为</w:t>
      </w:r>
      <w:r>
        <w:rPr>
          <w:rFonts w:hint="eastAsia" w:ascii="Times New Roman" w:hAnsi="Times New Roman" w:cs="Times New Roman"/>
          <w:sz w:val="24"/>
          <w:szCs w:val="24"/>
          <w:lang w:val="en-US" w:eastAsia="zh-CN"/>
        </w:rPr>
        <w:t>1.285</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。初期雨水主要成分为COD、SS及粪大</w:t>
      </w:r>
      <w:r>
        <w:rPr>
          <w:rFonts w:hint="default" w:ascii="Times New Roman" w:hAnsi="Times New Roman" w:cs="Times New Roman"/>
          <w:color w:val="auto"/>
          <w:sz w:val="24"/>
          <w:szCs w:val="24"/>
        </w:rPr>
        <w:t>肠菌群，经雨水边沟收集后汇入</w:t>
      </w:r>
      <w:r>
        <w:rPr>
          <w:rFonts w:hint="eastAsia" w:ascii="Times New Roman" w:hAnsi="Times New Roman" w:cs="Times New Roman"/>
          <w:color w:val="auto"/>
          <w:sz w:val="24"/>
          <w:szCs w:val="24"/>
          <w:lang w:val="en-US" w:eastAsia="zh-CN"/>
        </w:rPr>
        <w:t>玻璃钢污水罐</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）储存后</w:t>
      </w:r>
      <w:r>
        <w:rPr>
          <w:rFonts w:hint="default" w:ascii="Times New Roman" w:hAnsi="Times New Roman" w:cs="Times New Roman"/>
          <w:color w:val="auto"/>
          <w:sz w:val="24"/>
          <w:szCs w:val="24"/>
          <w:lang w:eastAsia="zh-CN"/>
        </w:rPr>
        <w:t>分批次</w:t>
      </w:r>
      <w:r>
        <w:rPr>
          <w:rFonts w:hint="default" w:ascii="Times New Roman" w:hAnsi="Times New Roman" w:cs="Times New Roman"/>
          <w:color w:val="auto"/>
          <w:sz w:val="24"/>
          <w:szCs w:val="24"/>
        </w:rPr>
        <w:t>排入处理中心污水处理设施与生产废水一并处理，处理后回用</w:t>
      </w:r>
      <w:r>
        <w:rPr>
          <w:rFonts w:hint="eastAsia" w:ascii="Times New Roman" w:hAnsi="Times New Roman" w:cs="Times New Roman"/>
          <w:color w:val="auto"/>
          <w:sz w:val="24"/>
          <w:szCs w:val="24"/>
          <w:lang w:val="en-US" w:eastAsia="zh-CN"/>
        </w:rPr>
        <w:t>作为厂区绿化用水</w:t>
      </w:r>
      <w:r>
        <w:rPr>
          <w:rFonts w:hint="default" w:ascii="Times New Roman" w:hAnsi="Times New Roman" w:cs="Times New Roman"/>
          <w:color w:val="auto"/>
          <w:sz w:val="24"/>
          <w:szCs w:val="24"/>
        </w:rPr>
        <w:t>，不外排。</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color w:val="auto"/>
          <w:sz w:val="24"/>
          <w:szCs w:val="24"/>
        </w:rPr>
        <w:t>本项目医废转运车消毒废水、周转箱消毒废水、地面消毒废水、医废转运车清洗废水、周转箱清洗废水、地面清洗废水、</w:t>
      </w:r>
      <w:r>
        <w:rPr>
          <w:rFonts w:hint="default" w:ascii="Times New Roman" w:hAnsi="Times New Roman" w:cs="Times New Roman"/>
          <w:color w:val="auto"/>
          <w:sz w:val="24"/>
          <w:szCs w:val="24"/>
          <w:lang w:val="en-US" w:eastAsia="zh-CN"/>
        </w:rPr>
        <w:t>电热</w:t>
      </w:r>
      <w:r>
        <w:rPr>
          <w:rFonts w:hint="default" w:ascii="Times New Roman" w:hAnsi="Times New Roman" w:cs="Times New Roman"/>
          <w:color w:val="auto"/>
          <w:sz w:val="24"/>
          <w:szCs w:val="24"/>
        </w:rPr>
        <w:t>蒸汽发生器、电锅炉排污水</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软水装置排污水</w:t>
      </w:r>
      <w:r>
        <w:rPr>
          <w:rFonts w:hint="default" w:ascii="Times New Roman" w:hAnsi="Times New Roman" w:cs="Times New Roman"/>
          <w:color w:val="auto"/>
          <w:sz w:val="24"/>
          <w:szCs w:val="24"/>
        </w:rPr>
        <w:t>的量为</w:t>
      </w:r>
      <w:r>
        <w:rPr>
          <w:rFonts w:hint="default" w:ascii="Times New Roman" w:hAnsi="Times New Roman" w:cs="Times New Roman"/>
          <w:color w:val="auto"/>
          <w:sz w:val="24"/>
          <w:szCs w:val="24"/>
          <w:lang w:val="en-US" w:eastAsia="zh-CN"/>
        </w:rPr>
        <w:t>1223.225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/a，经处理车间内MBR 膜一体化膜生物反应器处理，主体处理工艺为“</w:t>
      </w:r>
      <w:r>
        <w:rPr>
          <w:rFonts w:hint="default" w:ascii="Times New Roman" w:hAnsi="Times New Roman" w:cs="Times New Roman"/>
          <w:color w:val="000000"/>
          <w:sz w:val="24"/>
          <w:szCs w:val="24"/>
          <w:lang w:val="en-US" w:eastAsia="zh-CN"/>
        </w:rPr>
        <w:t>格栅+</w:t>
      </w:r>
      <w:r>
        <w:rPr>
          <w:rFonts w:hint="default" w:ascii="Times New Roman" w:hAnsi="Times New Roman" w:cs="Times New Roman"/>
          <w:color w:val="000000"/>
          <w:sz w:val="24"/>
          <w:szCs w:val="24"/>
        </w:rPr>
        <w:t>调节池+</w:t>
      </w:r>
      <w:r>
        <w:rPr>
          <w:rFonts w:hint="default" w:ascii="Times New Roman" w:hAnsi="Times New Roman" w:cs="Times New Roman"/>
          <w:color w:val="000000"/>
          <w:sz w:val="24"/>
          <w:szCs w:val="24"/>
          <w:lang w:val="en-US" w:eastAsia="zh-CN"/>
        </w:rPr>
        <w:t>A</w:t>
      </w:r>
      <w:r>
        <w:rPr>
          <w:rFonts w:hint="default" w:ascii="Times New Roman" w:hAnsi="Times New Roman" w:cs="Times New Roman"/>
          <w:color w:val="000000"/>
          <w:sz w:val="24"/>
          <w:szCs w:val="24"/>
          <w:vertAlign w:val="subscript"/>
          <w:lang w:val="en-US" w:eastAsia="zh-CN"/>
        </w:rPr>
        <w:t>2</w:t>
      </w:r>
      <w:r>
        <w:rPr>
          <w:rFonts w:hint="default" w:ascii="Times New Roman" w:hAnsi="Times New Roman" w:cs="Times New Roman"/>
          <w:color w:val="000000"/>
          <w:sz w:val="24"/>
          <w:szCs w:val="24"/>
          <w:lang w:val="en-US" w:eastAsia="zh-CN"/>
        </w:rPr>
        <w:t>O+</w:t>
      </w:r>
      <w:r>
        <w:rPr>
          <w:rFonts w:hint="default" w:ascii="Times New Roman" w:hAnsi="Times New Roman" w:cs="Times New Roman"/>
          <w:color w:val="000000"/>
          <w:sz w:val="24"/>
          <w:szCs w:val="24"/>
        </w:rPr>
        <w:t>MBR 膜生物反应+消毒</w:t>
      </w:r>
      <w:r>
        <w:rPr>
          <w:rFonts w:hint="default" w:ascii="Times New Roman" w:hAnsi="Times New Roman" w:cs="Times New Roman"/>
          <w:color w:val="auto"/>
          <w:sz w:val="24"/>
          <w:szCs w:val="24"/>
        </w:rPr>
        <w:t>”处理后</w:t>
      </w:r>
      <w:r>
        <w:rPr>
          <w:rFonts w:hint="default" w:ascii="Times New Roman" w:hAnsi="Times New Roman" w:cs="Times New Roman"/>
          <w:color w:val="auto"/>
          <w:sz w:val="24"/>
          <w:szCs w:val="24"/>
          <w:lang w:val="en-US" w:eastAsia="zh-CN"/>
        </w:rPr>
        <w:t>非供暖季用作厂区绿化用水，供暖季经罐车拉运至</w:t>
      </w:r>
      <w:r>
        <w:rPr>
          <w:rFonts w:hint="eastAsia" w:ascii="Times New Roman" w:hAnsi="Times New Roman" w:cs="Times New Roman"/>
          <w:color w:val="auto"/>
          <w:sz w:val="24"/>
          <w:szCs w:val="24"/>
          <w:lang w:val="en-US" w:eastAsia="zh-CN"/>
        </w:rPr>
        <w:t>突泉县突泉镇清源污水处理厂</w:t>
      </w:r>
      <w:r>
        <w:rPr>
          <w:rFonts w:hint="default" w:ascii="Times New Roman" w:hAnsi="Times New Roman" w:cs="Times New Roman"/>
          <w:color w:val="auto"/>
          <w:sz w:val="24"/>
          <w:szCs w:val="24"/>
          <w:lang w:val="en-US" w:eastAsia="zh-CN"/>
        </w:rPr>
        <w:t>进一步处理</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生活污水</w:t>
      </w:r>
      <w:r>
        <w:rPr>
          <w:rFonts w:hint="default" w:ascii="Times New Roman" w:hAnsi="Times New Roman" w:cs="Times New Roman"/>
          <w:color w:val="auto"/>
          <w:kern w:val="0"/>
          <w:sz w:val="24"/>
          <w:szCs w:val="24"/>
          <w:lang w:eastAsia="zh-CN"/>
        </w:rPr>
        <w:t>排入本项目</w:t>
      </w:r>
      <w:r>
        <w:rPr>
          <w:rFonts w:hint="default" w:ascii="Times New Roman" w:hAnsi="Times New Roman" w:cs="Times New Roman"/>
          <w:color w:val="auto"/>
          <w:kern w:val="0"/>
          <w:sz w:val="24"/>
          <w:szCs w:val="24"/>
        </w:rPr>
        <w:t>新建防渗化粪池后</w:t>
      </w:r>
      <w:r>
        <w:rPr>
          <w:rFonts w:hint="default" w:ascii="Times New Roman" w:hAnsi="Times New Roman" w:cs="Times New Roman"/>
          <w:color w:val="auto"/>
          <w:sz w:val="24"/>
          <w:szCs w:val="24"/>
          <w:lang w:val="en-US" w:eastAsia="zh-CN"/>
        </w:rPr>
        <w:t>定期由吸污车清运至</w:t>
      </w:r>
      <w:r>
        <w:rPr>
          <w:rFonts w:hint="eastAsia" w:ascii="Times New Roman" w:hAnsi="Times New Roman" w:cs="Times New Roman"/>
          <w:color w:val="auto"/>
          <w:sz w:val="24"/>
          <w:szCs w:val="24"/>
          <w:lang w:val="en-US" w:eastAsia="zh-CN"/>
        </w:rPr>
        <w:t>突泉县突泉镇清源污水处理厂</w:t>
      </w:r>
      <w:r>
        <w:rPr>
          <w:rFonts w:hint="default" w:ascii="Times New Roman" w:hAnsi="Times New Roman" w:cs="Times New Roman"/>
          <w:color w:val="auto"/>
          <w:sz w:val="24"/>
          <w:szCs w:val="24"/>
          <w:lang w:val="en-US" w:eastAsia="zh-CN"/>
        </w:rPr>
        <w:t>进一步处置</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bCs/>
          <w:iCs/>
          <w:color w:val="auto"/>
          <w:sz w:val="24"/>
        </w:rPr>
        <w:t>设计废水处理量为</w:t>
      </w:r>
      <w:r>
        <w:rPr>
          <w:rFonts w:hint="default" w:ascii="Times New Roman" w:hAnsi="Times New Roman" w:cs="Times New Roman"/>
          <w:bCs/>
          <w:iCs/>
          <w:color w:val="auto"/>
          <w:sz w:val="24"/>
          <w:lang w:val="en-US" w:eastAsia="zh-CN"/>
        </w:rPr>
        <w:t>5</w:t>
      </w:r>
      <w:r>
        <w:rPr>
          <w:rFonts w:hint="default" w:ascii="Times New Roman" w:hAnsi="Times New Roman" w:cs="Times New Roman"/>
          <w:bCs/>
          <w:iCs/>
          <w:color w:val="auto"/>
          <w:sz w:val="24"/>
        </w:rPr>
        <w:t>m</w:t>
      </w:r>
      <w:r>
        <w:rPr>
          <w:rFonts w:hint="default" w:ascii="Times New Roman" w:hAnsi="Times New Roman" w:cs="Times New Roman"/>
          <w:bCs/>
          <w:iCs/>
          <w:color w:val="auto"/>
          <w:sz w:val="24"/>
          <w:vertAlign w:val="superscript"/>
        </w:rPr>
        <w:t>3</w:t>
      </w:r>
      <w:r>
        <w:rPr>
          <w:rFonts w:hint="default" w:ascii="Times New Roman" w:hAnsi="Times New Roman" w:cs="Times New Roman"/>
          <w:bCs/>
          <w:iCs/>
          <w:color w:val="auto"/>
          <w:sz w:val="24"/>
        </w:rPr>
        <w:t>/d，</w:t>
      </w:r>
      <w:r>
        <w:rPr>
          <w:rFonts w:hint="default" w:ascii="Times New Roman" w:hAnsi="Times New Roman" w:cs="Times New Roman"/>
          <w:bCs/>
          <w:iCs/>
          <w:color w:val="auto"/>
          <w:sz w:val="24"/>
          <w:lang w:eastAsia="zh-CN"/>
        </w:rPr>
        <w:t>初期雨水分批次排入项目区污水处理系统</w:t>
      </w:r>
      <w:r>
        <w:rPr>
          <w:rFonts w:hint="default" w:ascii="Times New Roman" w:hAnsi="Times New Roman" w:cs="Times New Roman"/>
          <w:bCs/>
          <w:iCs/>
          <w:color w:val="auto"/>
          <w:sz w:val="24"/>
        </w:rPr>
        <w:t>，同时本项目污水处理设施设计出水水质可满足《医疗机构水污染物排放标准》(GB18466-2005)表2中排放标准</w:t>
      </w:r>
      <w:r>
        <w:rPr>
          <w:rFonts w:hint="eastAsia" w:ascii="Times New Roman" w:hAnsi="Times New Roman" w:cs="Times New Roman"/>
          <w:bCs/>
          <w:iCs/>
          <w:color w:val="auto"/>
          <w:sz w:val="24"/>
          <w:lang w:eastAsia="zh-CN"/>
        </w:rPr>
        <w:t>、</w:t>
      </w:r>
      <w:r>
        <w:rPr>
          <w:rFonts w:hint="default" w:ascii="Times New Roman" w:hAnsi="Times New Roman" w:cs="Times New Roman"/>
          <w:color w:val="auto"/>
          <w:sz w:val="24"/>
        </w:rPr>
        <w:t>《城市污水再生利用 城市杂用水水质》(GB/T 18920-2020)中</w:t>
      </w:r>
      <w:r>
        <w:rPr>
          <w:rFonts w:hint="eastAsia" w:ascii="Times New Roman" w:hAnsi="Times New Roman" w:cs="Times New Roman"/>
          <w:color w:val="auto"/>
          <w:sz w:val="24"/>
          <w:lang w:val="en-US" w:eastAsia="zh-CN"/>
        </w:rPr>
        <w:t>绿化</w:t>
      </w:r>
      <w:r>
        <w:rPr>
          <w:rFonts w:hint="default" w:ascii="Times New Roman" w:hAnsi="Times New Roman" w:cs="Times New Roman"/>
          <w:color w:val="auto"/>
          <w:sz w:val="24"/>
        </w:rPr>
        <w:t>用水水质标准值</w:t>
      </w:r>
      <w:r>
        <w:rPr>
          <w:rFonts w:hint="eastAsia" w:ascii="Times New Roman" w:hAnsi="Times New Roman" w:cs="Times New Roman"/>
          <w:color w:val="auto"/>
          <w:sz w:val="24"/>
          <w:lang w:val="en-US" w:eastAsia="zh-CN"/>
        </w:rPr>
        <w:t>及突泉县突泉镇清源污水处理厂进水</w:t>
      </w:r>
      <w:r>
        <w:rPr>
          <w:rFonts w:hint="default" w:ascii="Times New Roman" w:hAnsi="Times New Roman" w:cs="Times New Roman"/>
          <w:bCs/>
          <w:iCs/>
          <w:color w:val="auto"/>
          <w:sz w:val="24"/>
        </w:rPr>
        <w:t>要求</w:t>
      </w:r>
      <w:r>
        <w:rPr>
          <w:rFonts w:hint="eastAsia" w:ascii="Times New Roman" w:hAnsi="Times New Roman" w:cs="Times New Roman"/>
          <w:bCs/>
          <w:iCs/>
          <w:color w:val="auto"/>
          <w:sz w:val="24"/>
          <w:lang w:eastAsia="zh-CN"/>
        </w:rPr>
        <w:t>。</w:t>
      </w:r>
      <w:r>
        <w:rPr>
          <w:rFonts w:hint="default" w:ascii="Times New Roman" w:hAnsi="Times New Roman" w:cs="Times New Roman"/>
          <w:bCs/>
          <w:iCs/>
          <w:color w:val="auto"/>
          <w:sz w:val="24"/>
        </w:rPr>
        <w:t>因此</w:t>
      </w:r>
      <w:r>
        <w:rPr>
          <w:rFonts w:hint="eastAsia" w:ascii="Times New Roman" w:hAnsi="Times New Roman" w:cs="Times New Roman"/>
          <w:bCs/>
          <w:iCs/>
          <w:color w:val="auto"/>
          <w:sz w:val="24"/>
          <w:lang w:val="en-US" w:eastAsia="zh-CN"/>
        </w:rPr>
        <w:t>非供暖季</w:t>
      </w:r>
      <w:r>
        <w:rPr>
          <w:rFonts w:hint="default" w:ascii="Times New Roman" w:hAnsi="Times New Roman" w:cs="Times New Roman"/>
          <w:bCs/>
          <w:iCs/>
          <w:color w:val="auto"/>
          <w:sz w:val="24"/>
        </w:rPr>
        <w:t>本项目废水及初期雨水处理后全部回用于</w:t>
      </w:r>
      <w:r>
        <w:rPr>
          <w:rFonts w:hint="eastAsia" w:ascii="Times New Roman" w:hAnsi="Times New Roman" w:cs="Times New Roman"/>
          <w:bCs/>
          <w:iCs/>
          <w:color w:val="auto"/>
          <w:sz w:val="24"/>
          <w:lang w:val="en-US" w:eastAsia="zh-CN"/>
        </w:rPr>
        <w:t>场区绿化</w:t>
      </w:r>
      <w:r>
        <w:rPr>
          <w:rFonts w:hint="default" w:ascii="Times New Roman" w:hAnsi="Times New Roman" w:cs="Times New Roman"/>
          <w:bCs/>
          <w:iCs/>
          <w:color w:val="auto"/>
          <w:sz w:val="24"/>
        </w:rPr>
        <w:t>，不外排</w:t>
      </w:r>
      <w:r>
        <w:rPr>
          <w:rFonts w:hint="eastAsia" w:ascii="Times New Roman" w:hAnsi="Times New Roman" w:cs="Times New Roman"/>
          <w:bCs/>
          <w:iCs/>
          <w:color w:val="auto"/>
          <w:sz w:val="24"/>
          <w:lang w:eastAsia="zh-CN"/>
        </w:rPr>
        <w:t>，</w:t>
      </w:r>
      <w:r>
        <w:rPr>
          <w:rFonts w:hint="eastAsia" w:ascii="Times New Roman" w:hAnsi="Times New Roman" w:cs="Times New Roman"/>
          <w:bCs/>
          <w:iCs/>
          <w:color w:val="auto"/>
          <w:sz w:val="24"/>
          <w:lang w:val="en-US" w:eastAsia="zh-CN"/>
        </w:rPr>
        <w:t>供暖季本项目废水经罐车拉运至突泉县突泉镇清源污水处理厂进一步处理。</w:t>
      </w:r>
    </w:p>
    <w:p>
      <w:pPr>
        <w:pStyle w:val="28"/>
        <w:rPr>
          <w:rFonts w:hint="default" w:ascii="Times New Roman" w:hAnsi="Times New Roman" w:cs="Times New Roman"/>
          <w:color w:val="auto"/>
        </w:rPr>
      </w:pPr>
      <w:r>
        <w:rPr>
          <w:rFonts w:hint="default" w:ascii="Times New Roman" w:hAnsi="Times New Roman" w:cs="Times New Roman"/>
          <w:color w:val="auto"/>
        </w:rPr>
        <w:t>6.2.2.2废水处理工艺可行性分析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（1）废水处理规模</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color w:val="auto"/>
          <w:sz w:val="24"/>
        </w:rPr>
        <w:t>本项目</w:t>
      </w:r>
      <w:r>
        <w:rPr>
          <w:rFonts w:hint="eastAsia" w:ascii="Times New Roman" w:hAnsi="Times New Roman" w:cs="Times New Roman"/>
          <w:color w:val="auto"/>
          <w:sz w:val="24"/>
          <w:lang w:val="en-US" w:eastAsia="zh-CN"/>
        </w:rPr>
        <w:t>生产</w:t>
      </w:r>
      <w:r>
        <w:rPr>
          <w:rFonts w:hint="default" w:ascii="Times New Roman" w:hAnsi="Times New Roman" w:cs="Times New Roman"/>
          <w:color w:val="auto"/>
          <w:sz w:val="24"/>
        </w:rPr>
        <w:t>废水</w:t>
      </w:r>
      <w:r>
        <w:rPr>
          <w:rFonts w:hint="eastAsia" w:ascii="Times New Roman" w:hAnsi="Times New Roman" w:cs="Times New Roman"/>
          <w:color w:val="auto"/>
          <w:sz w:val="24"/>
          <w:lang w:val="en-US" w:eastAsia="zh-CN"/>
        </w:rPr>
        <w:t>日最大</w:t>
      </w:r>
      <w:r>
        <w:rPr>
          <w:rFonts w:hint="default" w:ascii="Times New Roman" w:hAnsi="Times New Roman" w:cs="Times New Roman"/>
          <w:color w:val="auto"/>
          <w:sz w:val="24"/>
        </w:rPr>
        <w:t>产生量为</w:t>
      </w:r>
      <w:r>
        <w:rPr>
          <w:rFonts w:hint="eastAsia" w:ascii="Times New Roman" w:hAnsi="Times New Roman" w:cs="Times New Roman"/>
          <w:color w:val="auto"/>
          <w:sz w:val="24"/>
          <w:lang w:val="en-US" w:eastAsia="zh-CN"/>
        </w:rPr>
        <w:t>3.44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/d，初期雨水量为</w:t>
      </w:r>
      <w:r>
        <w:rPr>
          <w:rFonts w:hint="eastAsia" w:ascii="Times New Roman" w:hAnsi="Times New Roman" w:cs="Times New Roman"/>
          <w:color w:val="auto"/>
          <w:sz w:val="24"/>
          <w:lang w:val="en-US" w:eastAsia="zh-CN"/>
        </w:rPr>
        <w:t>1.285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，一体化污水处理设施处理能力为</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eastAsia="zh-CN"/>
        </w:rPr>
        <w:t>初期雨水分批次排入污水处理系统，</w:t>
      </w:r>
      <w:r>
        <w:rPr>
          <w:rFonts w:hint="default" w:ascii="Times New Roman" w:hAnsi="Times New Roman" w:cs="Times New Roman"/>
          <w:color w:val="auto"/>
          <w:sz w:val="24"/>
        </w:rPr>
        <w:t>因此一体化污水处理设施处理能力能够满足要求。</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（2）废水处理工艺</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color w:val="auto"/>
          <w:sz w:val="24"/>
        </w:rPr>
        <w:t>污水处理工艺流程见图6.2-2。</w:t>
      </w:r>
    </w:p>
    <w:p>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object>
          <v:shape id="_x0000_i1039" o:spt="75" type="#_x0000_t75" style="height:189.45pt;width:415.2pt;" o:ole="t" filled="f" o:preferrelative="t" stroked="f" coordsize="21600,21600">
            <v:path/>
            <v:fill on="f" focussize="0,0"/>
            <v:stroke on="f"/>
            <v:imagedata r:id="rId18" o:title=""/>
            <o:lock v:ext="edit" aspectratio="f"/>
            <w10:wrap type="none"/>
            <w10:anchorlock/>
          </v:shape>
          <o:OLEObject Type="Embed" ProgID="Visio.Drawing.15" ShapeID="_x0000_i1039" DrawAspect="Content" ObjectID="_1468075727" r:id="rId17">
            <o:LockedField>false</o:LockedField>
          </o:OLEObject>
        </w:object>
      </w:r>
    </w:p>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cs="Times New Roman"/>
          <w:b/>
          <w:color w:val="auto"/>
          <w:szCs w:val="21"/>
        </w:rPr>
        <w:t>图</w:t>
      </w:r>
      <w:r>
        <w:rPr>
          <w:rFonts w:hint="default" w:ascii="Times New Roman" w:hAnsi="Times New Roman" w:cs="Times New Roman"/>
          <w:b/>
          <w:bCs/>
          <w:color w:val="auto"/>
          <w:szCs w:val="21"/>
        </w:rPr>
        <w:t xml:space="preserve">6.2-2    </w:t>
      </w:r>
      <w:r>
        <w:rPr>
          <w:rFonts w:hint="default" w:ascii="Times New Roman" w:hAnsi="Times New Roman" w:cs="Times New Roman"/>
          <w:b/>
          <w:color w:val="auto"/>
          <w:szCs w:val="21"/>
        </w:rPr>
        <w:t>废水处理工艺流程</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color w:val="auto"/>
          <w:sz w:val="24"/>
        </w:rPr>
        <w:t>MBR又称膜生物反应器，是生物处理与膜技术相结合的一种工艺，在膜生物反应器里培养有大量的驯化细菌，在兼氧、好氧微生物的新陈代谢作用下，污水中的各类污染物得到去除。通过膜的过滤作用可以完全做到“固液分离”，从而保证出水浊度降至极低。污水中的各类污染物也通过</w:t>
      </w:r>
      <w:r>
        <w:rPr>
          <w:rFonts w:hint="default" w:ascii="Times New Roman" w:hAnsi="Times New Roman" w:cs="Times New Roman"/>
          <w:sz w:val="24"/>
        </w:rPr>
        <w:t>膜的过滤作用得到进一步的去除。与传统工艺相比，膜生物反应器技术的优势如下：</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rPr>
        <w:t>MBR用膜分离技术代替了传统的泥水分离技术，膜技术可以基本截留水中的悬浮物，因此出水中基本不含SS；污染物的去除率高，抵抗污泥膨胀能力强，出水水质稳定可靠。项目污水处理工艺流程介绍如下：</w:t>
      </w:r>
    </w:p>
    <w:p>
      <w:pPr>
        <w:widowControl/>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①格栅</w:t>
      </w:r>
    </w:p>
    <w:p>
      <w:pPr>
        <w:widowControl/>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用以去除污水中的软性缠绕物、较大固颗粒杂物及飘浮物，从而保护后续工作水泵使用寿命并降低系统处理工作负荷。</w:t>
      </w:r>
    </w:p>
    <w:p>
      <w:pPr>
        <w:widowControl/>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②调节池</w:t>
      </w:r>
    </w:p>
    <w:p>
      <w:pPr>
        <w:widowControl/>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cs="Times New Roman"/>
          <w:sz w:val="24"/>
        </w:rPr>
        <w:t>调节池是用以调节进出水流量的构筑物，对水量和水质有调节作用，调节污水pH值、水温，有预</w:t>
      </w:r>
      <w:r>
        <w:rPr>
          <w:rFonts w:hint="default" w:ascii="Times New Roman" w:hAnsi="Times New Roman" w:cs="Times New Roman"/>
          <w:sz w:val="24"/>
          <w:szCs w:val="21"/>
        </w:rPr>
        <w:fldChar w:fldCharType="begin"/>
      </w:r>
      <w:r>
        <w:rPr>
          <w:rFonts w:hint="default" w:ascii="Times New Roman" w:hAnsi="Times New Roman" w:cs="Times New Roman"/>
          <w:sz w:val="24"/>
          <w:szCs w:val="21"/>
        </w:rPr>
        <w:instrText xml:space="preserve"> HYPERLINK "http://baike.baidu.com/view/641848.htm" \t "_blank" </w:instrText>
      </w:r>
      <w:r>
        <w:rPr>
          <w:rFonts w:hint="default" w:ascii="Times New Roman" w:hAnsi="Times New Roman" w:cs="Times New Roman"/>
          <w:sz w:val="24"/>
          <w:szCs w:val="21"/>
        </w:rPr>
        <w:fldChar w:fldCharType="separate"/>
      </w:r>
      <w:r>
        <w:rPr>
          <w:rFonts w:hint="default" w:ascii="Times New Roman" w:hAnsi="Times New Roman" w:cs="Times New Roman"/>
          <w:sz w:val="24"/>
        </w:rPr>
        <w:t>曝气</w:t>
      </w:r>
      <w:r>
        <w:rPr>
          <w:rFonts w:hint="default" w:ascii="Times New Roman" w:hAnsi="Times New Roman" w:cs="Times New Roman"/>
          <w:sz w:val="24"/>
        </w:rPr>
        <w:fldChar w:fldCharType="end"/>
      </w:r>
      <w:r>
        <w:rPr>
          <w:rFonts w:hint="default" w:ascii="Times New Roman" w:hAnsi="Times New Roman" w:cs="Times New Roman"/>
          <w:sz w:val="24"/>
        </w:rPr>
        <w:t>作用。调节池污水停留时间为6～8h</w:t>
      </w:r>
      <w:r>
        <w:rPr>
          <w:rFonts w:hint="default" w:ascii="Times New Roman" w:hAnsi="Times New Roman" w:cs="Times New Roman"/>
          <w:sz w:val="24"/>
          <w:lang w:eastAsia="zh-CN"/>
        </w:rPr>
        <w:t>，同时在调节池中投加脱氯剂对余氯进行脱除。</w:t>
      </w:r>
    </w:p>
    <w:p>
      <w:pPr>
        <w:widowControl/>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③</w:t>
      </w:r>
      <w:r>
        <w:rPr>
          <w:rFonts w:hint="eastAsia" w:ascii="Times New Roman" w:hAnsi="Times New Roman" w:cs="Times New Roman"/>
          <w:sz w:val="24"/>
          <w:lang w:val="en-US" w:eastAsia="zh-CN"/>
        </w:rPr>
        <w:t>A</w:t>
      </w:r>
      <w:r>
        <w:rPr>
          <w:rFonts w:hint="eastAsia" w:ascii="Times New Roman" w:hAnsi="Times New Roman" w:cs="Times New Roman"/>
          <w:sz w:val="24"/>
          <w:vertAlign w:val="subscript"/>
          <w:lang w:val="en-US" w:eastAsia="zh-CN"/>
        </w:rPr>
        <w:t>2</w:t>
      </w:r>
      <w:r>
        <w:rPr>
          <w:rFonts w:hint="eastAsia" w:ascii="Times New Roman" w:hAnsi="Times New Roman" w:cs="Times New Roman"/>
          <w:sz w:val="24"/>
          <w:lang w:val="en-US" w:eastAsia="zh-CN"/>
        </w:rPr>
        <w:t>O+</w:t>
      </w:r>
      <w:r>
        <w:rPr>
          <w:rFonts w:hint="default" w:ascii="Times New Roman" w:hAnsi="Times New Roman" w:cs="Times New Roman"/>
          <w:sz w:val="24"/>
          <w:szCs w:val="21"/>
        </w:rPr>
        <w:t>MBR膜生物</w:t>
      </w:r>
      <w:r>
        <w:rPr>
          <w:rFonts w:hint="default" w:ascii="Times New Roman" w:hAnsi="Times New Roman" w:cs="Times New Roman"/>
          <w:sz w:val="24"/>
        </w:rPr>
        <w:t>池</w:t>
      </w:r>
    </w:p>
    <w:p>
      <w:pPr>
        <w:widowControl/>
        <w:spacing w:line="360" w:lineRule="auto"/>
        <w:ind w:firstLine="480" w:firstLineChars="200"/>
        <w:jc w:val="left"/>
        <w:rPr>
          <w:rFonts w:hint="default" w:ascii="Times New Roman" w:hAnsi="Times New Roman" w:cs="Times New Roman"/>
          <w:sz w:val="24"/>
          <w:szCs w:val="21"/>
        </w:rPr>
      </w:pPr>
      <w:r>
        <w:rPr>
          <w:rFonts w:hint="eastAsia" w:ascii="Times New Roman" w:hAnsi="Times New Roman" w:cs="Times New Roman"/>
          <w:sz w:val="24"/>
          <w:szCs w:val="21"/>
          <w:lang w:val="en-US" w:eastAsia="zh-CN"/>
        </w:rPr>
        <w:t>调节池出水经厌氧好氧池后进入</w:t>
      </w:r>
      <w:r>
        <w:rPr>
          <w:rFonts w:hint="default" w:ascii="Times New Roman" w:hAnsi="Times New Roman" w:cs="Times New Roman"/>
          <w:sz w:val="24"/>
          <w:szCs w:val="21"/>
        </w:rPr>
        <w:t>MBR膜生物池</w:t>
      </w:r>
      <w:r>
        <w:rPr>
          <w:rFonts w:hint="eastAsia" w:ascii="Times New Roman" w:hAnsi="Times New Roman" w:cs="Times New Roman"/>
          <w:sz w:val="24"/>
          <w:szCs w:val="21"/>
          <w:lang w:eastAsia="zh-CN"/>
        </w:rPr>
        <w:t>，</w:t>
      </w:r>
      <w:r>
        <w:rPr>
          <w:rFonts w:hint="default" w:ascii="Times New Roman" w:hAnsi="Times New Roman" w:cs="Times New Roman"/>
          <w:sz w:val="24"/>
          <w:szCs w:val="21"/>
        </w:rPr>
        <w:t>分为两级，一级进行酸化水解和硝化反硝化，降低有机物浓度，去除部分氨氮，二级进行好氧生化反应，</w:t>
      </w:r>
      <w:r>
        <w:rPr>
          <w:rFonts w:hint="default" w:ascii="Times New Roman" w:hAnsi="Times New Roman" w:cs="Times New Roman"/>
          <w:sz w:val="24"/>
          <w:shd w:val="clear" w:color="auto" w:fill="FFFFFF"/>
        </w:rPr>
        <w:t>好氧菌以污水中的有机物为食物，将污水中的有机物分解为无机盐，达到净化的目的</w:t>
      </w:r>
      <w:r>
        <w:rPr>
          <w:rFonts w:hint="default" w:ascii="Times New Roman" w:hAnsi="Times New Roman" w:cs="Times New Roman"/>
          <w:sz w:val="24"/>
          <w:szCs w:val="21"/>
        </w:rPr>
        <w:t>。</w:t>
      </w:r>
    </w:p>
    <w:p>
      <w:pPr>
        <w:widowControl/>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④沉淀池</w:t>
      </w:r>
    </w:p>
    <w:p>
      <w:pPr>
        <w:widowControl/>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本项目设置污水处理装置，包括初沉池和二沉池两个沉淀池，初沉池设置在调节池之后，</w:t>
      </w:r>
      <w:r>
        <w:rPr>
          <w:rFonts w:hint="default" w:ascii="Times New Roman" w:hAnsi="Times New Roman" w:cs="Times New Roman"/>
          <w:sz w:val="24"/>
          <w:lang w:eastAsia="zh-CN"/>
        </w:rPr>
        <w:t>废水</w:t>
      </w:r>
      <w:r>
        <w:rPr>
          <w:rFonts w:hint="default" w:ascii="Times New Roman" w:hAnsi="Times New Roman" w:cs="Times New Roman"/>
          <w:sz w:val="24"/>
        </w:rPr>
        <w:t>经初步沉淀后进入</w:t>
      </w:r>
      <w:r>
        <w:rPr>
          <w:rFonts w:hint="default" w:ascii="Times New Roman" w:hAnsi="Times New Roman" w:cs="Times New Roman"/>
          <w:sz w:val="24"/>
          <w:szCs w:val="21"/>
        </w:rPr>
        <w:t>一级MBR膜生物</w:t>
      </w:r>
      <w:r>
        <w:rPr>
          <w:rFonts w:hint="default" w:ascii="Times New Roman" w:hAnsi="Times New Roman" w:cs="Times New Roman"/>
          <w:sz w:val="24"/>
        </w:rPr>
        <w:t>池，初沉池污泥进入污泥浓缩池。二沉池布置在</w:t>
      </w:r>
      <w:r>
        <w:rPr>
          <w:rFonts w:hint="default" w:ascii="Times New Roman" w:hAnsi="Times New Roman" w:cs="Times New Roman"/>
          <w:sz w:val="24"/>
          <w:szCs w:val="21"/>
        </w:rPr>
        <w:t>二级MBR膜生物</w:t>
      </w:r>
      <w:r>
        <w:rPr>
          <w:rFonts w:hint="default" w:ascii="Times New Roman" w:hAnsi="Times New Roman" w:cs="Times New Roman"/>
          <w:sz w:val="24"/>
        </w:rPr>
        <w:t>池之后，污水经二沉池沉淀后排入消毒池进行进一步处理。</w:t>
      </w:r>
    </w:p>
    <w:p>
      <w:pPr>
        <w:autoSpaceDE w:val="0"/>
        <w:autoSpaceDN w:val="0"/>
        <w:adjustRightInd w:val="0"/>
        <w:snapToGrid w:val="0"/>
        <w:spacing w:line="480" w:lineRule="exact"/>
        <w:ind w:firstLine="480" w:firstLineChars="200"/>
        <w:jc w:val="left"/>
        <w:rPr>
          <w:rFonts w:hint="default" w:ascii="Times New Roman" w:hAnsi="Times New Roman" w:cs="Times New Roman"/>
          <w:bCs/>
          <w:iCs/>
          <w:sz w:val="24"/>
          <w:szCs w:val="22"/>
          <w:lang w:bidi="ar"/>
        </w:rPr>
      </w:pPr>
      <w:r>
        <w:rPr>
          <w:rFonts w:hint="default" w:ascii="Times New Roman" w:hAnsi="Times New Roman" w:cs="Times New Roman"/>
          <w:bCs/>
          <w:iCs/>
          <w:sz w:val="24"/>
          <w:szCs w:val="22"/>
          <w:lang w:bidi="ar"/>
        </w:rPr>
        <w:t>⑤消毒池</w:t>
      </w:r>
    </w:p>
    <w:p>
      <w:pPr>
        <w:autoSpaceDE w:val="0"/>
        <w:autoSpaceDN w:val="0"/>
        <w:adjustRightInd w:val="0"/>
        <w:snapToGrid w:val="0"/>
        <w:spacing w:line="480" w:lineRule="exact"/>
        <w:ind w:firstLine="480" w:firstLineChars="200"/>
        <w:jc w:val="left"/>
        <w:rPr>
          <w:rFonts w:hint="default" w:ascii="Times New Roman" w:hAnsi="Times New Roman" w:cs="Times New Roman"/>
          <w:bCs/>
          <w:iCs/>
          <w:color w:val="FF0000"/>
          <w:sz w:val="24"/>
          <w:szCs w:val="22"/>
          <w:lang w:bidi="ar"/>
        </w:rPr>
      </w:pPr>
      <w:r>
        <w:rPr>
          <w:rFonts w:hint="default" w:ascii="Times New Roman" w:hAnsi="Times New Roman" w:cs="Times New Roman"/>
          <w:bCs/>
          <w:iCs/>
          <w:sz w:val="24"/>
          <w:szCs w:val="22"/>
          <w:lang w:bidi="ar"/>
        </w:rPr>
        <w:t>消毒池所用试剂为次氯酸钠，次氯酸钠属于高效的含氯消毒剂。</w:t>
      </w:r>
      <w:r>
        <w:rPr>
          <w:rFonts w:hint="default" w:ascii="Times New Roman" w:hAnsi="Times New Roman" w:cs="Times New Roman"/>
          <w:bCs/>
          <w:iCs/>
          <w:color w:val="000000"/>
          <w:sz w:val="24"/>
          <w:szCs w:val="22"/>
          <w:lang w:bidi="ar"/>
        </w:rPr>
        <w:t>含氯消毒剂的杀菌作用包括次氯酸的作用、新生氧作用和氯化作用。次氯酸的氧化作用是含氯消毒剂的最主要的杀菌机理。含氯消毒剂在水中形成次氯酸，作用于菌体蛋白质。</w:t>
      </w:r>
    </w:p>
    <w:p>
      <w:pPr>
        <w:autoSpaceDE w:val="0"/>
        <w:autoSpaceDN w:val="0"/>
        <w:adjustRightInd w:val="0"/>
        <w:snapToGrid w:val="0"/>
        <w:spacing w:line="480" w:lineRule="exact"/>
        <w:ind w:firstLine="480" w:firstLineChars="200"/>
        <w:jc w:val="left"/>
        <w:rPr>
          <w:rFonts w:hint="default" w:ascii="Times New Roman" w:hAnsi="Times New Roman" w:cs="Times New Roman"/>
          <w:color w:val="000000"/>
          <w:sz w:val="24"/>
        </w:rPr>
      </w:pPr>
      <w:r>
        <w:rPr>
          <w:rFonts w:hint="default" w:ascii="Times New Roman" w:hAnsi="Times New Roman" w:cs="Times New Roman"/>
          <w:bCs/>
          <w:iCs/>
          <w:color w:val="000000"/>
          <w:sz w:val="24"/>
          <w:szCs w:val="22"/>
          <w:lang w:bidi="ar"/>
        </w:rPr>
        <w:t>本项目在清水消毒池内投加次氯酸钠进行消毒处理，</w:t>
      </w:r>
      <w:r>
        <w:rPr>
          <w:rFonts w:hint="default" w:ascii="Times New Roman" w:hAnsi="Times New Roman" w:cs="Times New Roman"/>
          <w:color w:val="000000"/>
          <w:sz w:val="24"/>
        </w:rPr>
        <w:t>反应原理：</w:t>
      </w:r>
    </w:p>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cs="Times New Roman"/>
          <w:bCs/>
          <w:iCs/>
          <w:color w:val="000000"/>
          <w:sz w:val="24"/>
          <w:szCs w:val="22"/>
          <w:lang w:bidi="ar"/>
        </w:rPr>
        <w:t>NaClO+H</w:t>
      </w:r>
      <w:r>
        <w:rPr>
          <w:rFonts w:hint="default" w:ascii="Times New Roman" w:hAnsi="Times New Roman" w:cs="Times New Roman"/>
          <w:bCs/>
          <w:iCs/>
          <w:color w:val="000000"/>
          <w:sz w:val="24"/>
          <w:szCs w:val="22"/>
          <w:vertAlign w:val="subscript"/>
          <w:lang w:bidi="ar"/>
        </w:rPr>
        <w:t>2</w:t>
      </w:r>
      <w:r>
        <w:rPr>
          <w:rFonts w:hint="default" w:ascii="Times New Roman" w:hAnsi="Times New Roman" w:cs="Times New Roman"/>
          <w:bCs/>
          <w:iCs/>
          <w:color w:val="000000"/>
          <w:sz w:val="24"/>
          <w:szCs w:val="22"/>
          <w:lang w:bidi="ar"/>
        </w:rPr>
        <w:t>O</w:t>
      </w:r>
      <w:r>
        <w:rPr>
          <w:rFonts w:hint="default" w:ascii="Times New Roman" w:hAnsi="Times New Roman" w:cs="Times New Roman"/>
          <w:color w:val="000000"/>
          <w:sz w:val="24"/>
        </w:rPr>
        <w:t>→</w:t>
      </w:r>
      <w:r>
        <w:rPr>
          <w:rFonts w:hint="default" w:ascii="Times New Roman" w:hAnsi="Times New Roman" w:cs="Times New Roman"/>
          <w:bCs/>
          <w:iCs/>
          <w:color w:val="000000"/>
          <w:sz w:val="24"/>
          <w:szCs w:val="22"/>
          <w:lang w:bidi="ar"/>
        </w:rPr>
        <w:t>Na0H+HClO</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rPr>
        <w:t>本项目废水污染源强数据类比《平顶山市益洁环保科技有限公司新建医疗废物处置中心项目竣工环境保护验收监测报告》（2021年7月）中相关数据及《医疗废物处理处置污染防治最佳可行技术指南》（2011年2月）中表14医疗废物消毒废水污染物排放情况表中数据，平顶山市益洁环保科技有限公司医废处理中心所处置的医疗废物类型为感染性废物、损伤性废物和病理性废物(人体器官和传染性的动物尸体等除外)，医废处理规模为10t/d，废水</w:t>
      </w:r>
      <w:r>
        <w:rPr>
          <w:rFonts w:hint="default" w:ascii="Times New Roman" w:hAnsi="Times New Roman" w:cs="Times New Roman"/>
          <w:color w:val="auto"/>
          <w:sz w:val="24"/>
        </w:rPr>
        <w:t>处理采用“调节池+MBR 膜生物反应+消毒”，废水处理规模为15m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/d，本项目处理量为</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/d，废水处理工艺与平顶山市益洁环保科技有限公司废水处理工艺相同。因此本项目废水源强数据类比</w:t>
      </w:r>
      <w:r>
        <w:rPr>
          <w:rFonts w:hint="default" w:ascii="Times New Roman" w:hAnsi="Times New Roman" w:cs="Times New Roman"/>
          <w:color w:val="000000"/>
          <w:sz w:val="24"/>
        </w:rPr>
        <w:t>《平顶山市益洁环保科技有限公司新建医疗废物处置中心项目竣工环境保护验收监测报告》（2021年7月）及《医疗废物处理处置污染防治最佳可行技术指南》（2011年2月）中表14中相关数据可行。本项目废水处理效率及达标判定一览表见表6.2-2。</w:t>
      </w:r>
    </w:p>
    <w:p>
      <w:pPr>
        <w:adjustRightInd w:val="0"/>
        <w:snapToGrid w:val="0"/>
        <w:spacing w:before="156" w:beforeLines="5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表6.2-2    本项目废水效率及达标判定一览表</w:t>
      </w:r>
    </w:p>
    <w:tbl>
      <w:tblPr>
        <w:tblStyle w:val="20"/>
        <w:tblW w:w="877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630"/>
        <w:gridCol w:w="615"/>
        <w:gridCol w:w="615"/>
        <w:gridCol w:w="675"/>
        <w:gridCol w:w="705"/>
        <w:gridCol w:w="750"/>
        <w:gridCol w:w="690"/>
        <w:gridCol w:w="645"/>
        <w:gridCol w:w="735"/>
        <w:gridCol w:w="660"/>
        <w:gridCol w:w="690"/>
        <w:gridCol w:w="5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69" w:type="dxa"/>
            <w:vMerge w:val="restar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单元名称</w:t>
            </w:r>
          </w:p>
        </w:tc>
        <w:tc>
          <w:tcPr>
            <w:tcW w:w="630" w:type="dxa"/>
            <w:vMerge w:val="restar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设计处理水量(m</w:t>
            </w:r>
            <w:r>
              <w:rPr>
                <w:rFonts w:hint="default" w:ascii="Times New Roman" w:hAnsi="Times New Roman" w:cs="Times New Roman"/>
                <w:color w:val="000000"/>
                <w:szCs w:val="21"/>
                <w:vertAlign w:val="superscript"/>
              </w:rPr>
              <w:t>3</w:t>
            </w:r>
            <w:r>
              <w:rPr>
                <w:rFonts w:hint="default" w:ascii="Times New Roman" w:hAnsi="Times New Roman" w:cs="Times New Roman"/>
                <w:color w:val="000000"/>
                <w:szCs w:val="21"/>
              </w:rPr>
              <w:t>/d)</w:t>
            </w:r>
          </w:p>
        </w:tc>
        <w:tc>
          <w:tcPr>
            <w:tcW w:w="615" w:type="dxa"/>
            <w:vMerge w:val="restar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pH</w:t>
            </w:r>
          </w:p>
        </w:tc>
        <w:tc>
          <w:tcPr>
            <w:tcW w:w="1290" w:type="dxa"/>
            <w:gridSpan w:val="2"/>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COD</w:t>
            </w:r>
            <w:r>
              <w:rPr>
                <w:rFonts w:hint="default" w:ascii="Times New Roman" w:hAnsi="Times New Roman" w:cs="Times New Roman"/>
                <w:color w:val="000000"/>
                <w:szCs w:val="21"/>
                <w:vertAlign w:val="subscript"/>
              </w:rPr>
              <w:t>cr</w:t>
            </w:r>
          </w:p>
        </w:tc>
        <w:tc>
          <w:tcPr>
            <w:tcW w:w="1455" w:type="dxa"/>
            <w:gridSpan w:val="2"/>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BOD</w:t>
            </w:r>
            <w:r>
              <w:rPr>
                <w:rFonts w:hint="default" w:ascii="Times New Roman" w:hAnsi="Times New Roman" w:cs="Times New Roman"/>
                <w:color w:val="000000"/>
                <w:szCs w:val="21"/>
                <w:vertAlign w:val="subscript"/>
              </w:rPr>
              <w:t>5</w:t>
            </w:r>
          </w:p>
        </w:tc>
        <w:tc>
          <w:tcPr>
            <w:tcW w:w="1335" w:type="dxa"/>
            <w:gridSpan w:val="2"/>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SS</w:t>
            </w:r>
          </w:p>
        </w:tc>
        <w:tc>
          <w:tcPr>
            <w:tcW w:w="1395" w:type="dxa"/>
            <w:gridSpan w:val="2"/>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氨氮</w:t>
            </w:r>
          </w:p>
        </w:tc>
        <w:tc>
          <w:tcPr>
            <w:tcW w:w="1287" w:type="dxa"/>
            <w:gridSpan w:val="2"/>
            <w:noWrap w:val="0"/>
            <w:vAlign w:val="top"/>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粪大肠菌群/</w:t>
            </w:r>
            <w:r>
              <w:rPr>
                <w:rFonts w:hint="default" w:ascii="Times New Roman" w:hAnsi="Times New Roman" w:cs="Times New Roman"/>
                <w:color w:val="000000"/>
              </w:rPr>
              <w:t>大肠埃希氏菌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769" w:type="dxa"/>
            <w:vMerge w:val="continue"/>
            <w:noWrap w:val="0"/>
            <w:vAlign w:val="center"/>
          </w:tcPr>
          <w:p>
            <w:pPr>
              <w:jc w:val="center"/>
              <w:rPr>
                <w:rFonts w:hint="default" w:ascii="Times New Roman" w:hAnsi="Times New Roman" w:cs="Times New Roman"/>
                <w:color w:val="000000"/>
                <w:szCs w:val="21"/>
              </w:rPr>
            </w:pPr>
          </w:p>
        </w:tc>
        <w:tc>
          <w:tcPr>
            <w:tcW w:w="630" w:type="dxa"/>
            <w:vMerge w:val="continue"/>
            <w:noWrap w:val="0"/>
            <w:vAlign w:val="center"/>
          </w:tcPr>
          <w:p>
            <w:pPr>
              <w:jc w:val="center"/>
              <w:rPr>
                <w:rFonts w:hint="default" w:ascii="Times New Roman" w:hAnsi="Times New Roman" w:cs="Times New Roman"/>
                <w:color w:val="000000"/>
                <w:szCs w:val="21"/>
              </w:rPr>
            </w:pPr>
          </w:p>
        </w:tc>
        <w:tc>
          <w:tcPr>
            <w:tcW w:w="615" w:type="dxa"/>
            <w:vMerge w:val="continue"/>
            <w:noWrap w:val="0"/>
            <w:vAlign w:val="center"/>
          </w:tcPr>
          <w:p>
            <w:pPr>
              <w:jc w:val="center"/>
              <w:rPr>
                <w:rFonts w:hint="default" w:ascii="Times New Roman" w:hAnsi="Times New Roman" w:cs="Times New Roman"/>
                <w:color w:val="000000"/>
                <w:szCs w:val="21"/>
              </w:rPr>
            </w:pPr>
          </w:p>
        </w:tc>
        <w:tc>
          <w:tcPr>
            <w:tcW w:w="61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浓度mg/L</w:t>
            </w:r>
          </w:p>
        </w:tc>
        <w:tc>
          <w:tcPr>
            <w:tcW w:w="67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去除率%</w:t>
            </w:r>
          </w:p>
        </w:tc>
        <w:tc>
          <w:tcPr>
            <w:tcW w:w="70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浓度mg/L</w:t>
            </w:r>
          </w:p>
        </w:tc>
        <w:tc>
          <w:tcPr>
            <w:tcW w:w="75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去除率%</w:t>
            </w:r>
          </w:p>
        </w:tc>
        <w:tc>
          <w:tcPr>
            <w:tcW w:w="69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浓度mg/L</w:t>
            </w:r>
          </w:p>
        </w:tc>
        <w:tc>
          <w:tcPr>
            <w:tcW w:w="64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去除率%</w:t>
            </w:r>
          </w:p>
        </w:tc>
        <w:tc>
          <w:tcPr>
            <w:tcW w:w="73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浓度mg/L</w:t>
            </w:r>
          </w:p>
        </w:tc>
        <w:tc>
          <w:tcPr>
            <w:tcW w:w="66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去除率%</w:t>
            </w:r>
          </w:p>
        </w:tc>
        <w:tc>
          <w:tcPr>
            <w:tcW w:w="69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浓度mg/L</w:t>
            </w:r>
          </w:p>
        </w:tc>
        <w:tc>
          <w:tcPr>
            <w:tcW w:w="597"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去除率%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69"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原水进水</w:t>
            </w:r>
          </w:p>
        </w:tc>
        <w:tc>
          <w:tcPr>
            <w:tcW w:w="630" w:type="dxa"/>
            <w:noWrap w:val="0"/>
            <w:vAlign w:val="center"/>
          </w:tcPr>
          <w:p>
            <w:pPr>
              <w:jc w:val="center"/>
              <w:rPr>
                <w:rFonts w:hint="eastAsia" w:ascii="Times New Roman" w:hAnsi="Times New Roman" w:cs="Times New Roman" w:eastAsiaTheme="minorEastAsia"/>
                <w:color w:val="000000"/>
                <w:szCs w:val="21"/>
                <w:lang w:eastAsia="zh-CN"/>
              </w:rPr>
            </w:pPr>
            <w:r>
              <w:rPr>
                <w:rFonts w:hint="eastAsia" w:ascii="Times New Roman" w:hAnsi="Times New Roman" w:cs="Times New Roman"/>
                <w:color w:val="000000"/>
                <w:szCs w:val="21"/>
                <w:lang w:val="en-US" w:eastAsia="zh-CN"/>
              </w:rPr>
              <w:t>5</w:t>
            </w:r>
          </w:p>
        </w:tc>
        <w:tc>
          <w:tcPr>
            <w:tcW w:w="61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7.25</w:t>
            </w:r>
          </w:p>
        </w:tc>
        <w:tc>
          <w:tcPr>
            <w:tcW w:w="61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445</w:t>
            </w:r>
          </w:p>
        </w:tc>
        <w:tc>
          <w:tcPr>
            <w:tcW w:w="67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0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153</w:t>
            </w:r>
          </w:p>
        </w:tc>
        <w:tc>
          <w:tcPr>
            <w:tcW w:w="75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69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200</w:t>
            </w:r>
          </w:p>
        </w:tc>
        <w:tc>
          <w:tcPr>
            <w:tcW w:w="64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3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17.5</w:t>
            </w:r>
          </w:p>
        </w:tc>
        <w:tc>
          <w:tcPr>
            <w:tcW w:w="66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69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84000个/L</w:t>
            </w:r>
          </w:p>
        </w:tc>
        <w:tc>
          <w:tcPr>
            <w:tcW w:w="597" w:type="dxa"/>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69" w:type="dxa"/>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调节池</w:t>
            </w:r>
            <w:r>
              <w:rPr>
                <w:rFonts w:hint="default" w:ascii="Times New Roman" w:hAnsi="Times New Roman" w:cs="Times New Roman"/>
                <w:color w:val="000000"/>
                <w:szCs w:val="21"/>
                <w:lang w:val="en-US" w:eastAsia="zh-CN"/>
              </w:rPr>
              <w:t>+初沉池</w:t>
            </w:r>
          </w:p>
        </w:tc>
        <w:tc>
          <w:tcPr>
            <w:tcW w:w="630" w:type="dxa"/>
            <w:noWrap w:val="0"/>
            <w:vAlign w:val="center"/>
          </w:tcPr>
          <w:p>
            <w:pPr>
              <w:jc w:val="center"/>
              <w:rPr>
                <w:rFonts w:hint="default" w:ascii="Times New Roman" w:hAnsi="Times New Roman" w:cs="Times New Roman"/>
                <w:color w:val="000000"/>
                <w:szCs w:val="21"/>
              </w:rPr>
            </w:pPr>
            <w:r>
              <w:rPr>
                <w:rFonts w:hint="eastAsia" w:ascii="Times New Roman" w:hAnsi="Times New Roman" w:cs="Times New Roman"/>
                <w:color w:val="000000"/>
                <w:szCs w:val="21"/>
                <w:lang w:val="en-US" w:eastAsia="zh-CN"/>
              </w:rPr>
              <w:t>5</w:t>
            </w:r>
          </w:p>
        </w:tc>
        <w:tc>
          <w:tcPr>
            <w:tcW w:w="61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7.25</w:t>
            </w:r>
          </w:p>
        </w:tc>
        <w:tc>
          <w:tcPr>
            <w:tcW w:w="61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445</w:t>
            </w:r>
          </w:p>
        </w:tc>
        <w:tc>
          <w:tcPr>
            <w:tcW w:w="67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0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153</w:t>
            </w:r>
          </w:p>
        </w:tc>
        <w:tc>
          <w:tcPr>
            <w:tcW w:w="750" w:type="dxa"/>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lang w:val="en-US" w:eastAsia="zh-CN"/>
              </w:rPr>
              <w:t>8</w:t>
            </w:r>
          </w:p>
        </w:tc>
        <w:tc>
          <w:tcPr>
            <w:tcW w:w="69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200</w:t>
            </w:r>
          </w:p>
        </w:tc>
        <w:tc>
          <w:tcPr>
            <w:tcW w:w="64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c>
          <w:tcPr>
            <w:tcW w:w="73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17.5</w:t>
            </w:r>
          </w:p>
        </w:tc>
        <w:tc>
          <w:tcPr>
            <w:tcW w:w="66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69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84000个/L</w:t>
            </w:r>
          </w:p>
        </w:tc>
        <w:tc>
          <w:tcPr>
            <w:tcW w:w="597" w:type="dxa"/>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769" w:type="dxa"/>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膜生物反应（MBR）</w:t>
            </w:r>
            <w:r>
              <w:rPr>
                <w:rFonts w:hint="default" w:ascii="Times New Roman" w:hAnsi="Times New Roman" w:cs="Times New Roman"/>
                <w:color w:val="000000"/>
                <w:szCs w:val="21"/>
                <w:lang w:val="en-US" w:eastAsia="zh-CN"/>
              </w:rPr>
              <w:t>+二沉池</w:t>
            </w:r>
          </w:p>
        </w:tc>
        <w:tc>
          <w:tcPr>
            <w:tcW w:w="630" w:type="dxa"/>
            <w:noWrap w:val="0"/>
            <w:vAlign w:val="center"/>
          </w:tcPr>
          <w:p>
            <w:pPr>
              <w:jc w:val="center"/>
              <w:rPr>
                <w:rFonts w:hint="default" w:ascii="Times New Roman" w:hAnsi="Times New Roman" w:cs="Times New Roman"/>
                <w:color w:val="000000"/>
                <w:szCs w:val="21"/>
              </w:rPr>
            </w:pPr>
            <w:r>
              <w:rPr>
                <w:rFonts w:hint="eastAsia" w:ascii="Times New Roman" w:hAnsi="Times New Roman" w:cs="Times New Roman"/>
                <w:color w:val="000000"/>
                <w:szCs w:val="21"/>
                <w:lang w:val="en-US" w:eastAsia="zh-CN"/>
              </w:rPr>
              <w:t>5</w:t>
            </w:r>
          </w:p>
        </w:tc>
        <w:tc>
          <w:tcPr>
            <w:tcW w:w="61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7.25</w:t>
            </w:r>
          </w:p>
        </w:tc>
        <w:tc>
          <w:tcPr>
            <w:tcW w:w="61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445</w:t>
            </w:r>
          </w:p>
        </w:tc>
        <w:tc>
          <w:tcPr>
            <w:tcW w:w="67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90.</w:t>
            </w:r>
          </w:p>
        </w:tc>
        <w:tc>
          <w:tcPr>
            <w:tcW w:w="70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141</w:t>
            </w:r>
          </w:p>
        </w:tc>
        <w:tc>
          <w:tcPr>
            <w:tcW w:w="75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94.3</w:t>
            </w:r>
          </w:p>
        </w:tc>
        <w:tc>
          <w:tcPr>
            <w:tcW w:w="69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180</w:t>
            </w:r>
          </w:p>
        </w:tc>
        <w:tc>
          <w:tcPr>
            <w:tcW w:w="64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93</w:t>
            </w:r>
          </w:p>
        </w:tc>
        <w:tc>
          <w:tcPr>
            <w:tcW w:w="73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17.5</w:t>
            </w:r>
          </w:p>
        </w:tc>
        <w:tc>
          <w:tcPr>
            <w:tcW w:w="66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98</w:t>
            </w:r>
          </w:p>
        </w:tc>
        <w:tc>
          <w:tcPr>
            <w:tcW w:w="69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84000个/L</w:t>
            </w:r>
          </w:p>
        </w:tc>
        <w:tc>
          <w:tcPr>
            <w:tcW w:w="597" w:type="dxa"/>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69"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消毒</w:t>
            </w:r>
          </w:p>
        </w:tc>
        <w:tc>
          <w:tcPr>
            <w:tcW w:w="630" w:type="dxa"/>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000000"/>
                <w:szCs w:val="21"/>
                <w:lang w:val="en-US" w:eastAsia="zh-CN"/>
              </w:rPr>
              <w:t>5</w:t>
            </w:r>
          </w:p>
        </w:tc>
        <w:tc>
          <w:tcPr>
            <w:tcW w:w="61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7.25</w:t>
            </w:r>
          </w:p>
        </w:tc>
        <w:tc>
          <w:tcPr>
            <w:tcW w:w="615" w:type="dxa"/>
            <w:noWrap w:val="0"/>
            <w:vAlign w:val="center"/>
          </w:tcPr>
          <w:p>
            <w:pPr>
              <w:jc w:val="center"/>
              <w:rPr>
                <w:rFonts w:hint="eastAsia" w:ascii="Times New Roman" w:hAnsi="Times New Roman" w:cs="Times New Roman" w:eastAsiaTheme="minorEastAsia"/>
                <w:color w:val="auto"/>
                <w:szCs w:val="21"/>
                <w:lang w:eastAsia="zh-CN"/>
              </w:rPr>
            </w:pPr>
            <w:r>
              <w:rPr>
                <w:rFonts w:hint="default" w:ascii="Times New Roman" w:hAnsi="Times New Roman" w:cs="Times New Roman"/>
                <w:color w:val="auto"/>
                <w:szCs w:val="21"/>
              </w:rPr>
              <w:t>4</w:t>
            </w:r>
            <w:r>
              <w:rPr>
                <w:rFonts w:hint="eastAsia" w:ascii="Times New Roman" w:hAnsi="Times New Roman" w:cs="Times New Roman"/>
                <w:color w:val="auto"/>
                <w:szCs w:val="21"/>
                <w:lang w:val="en-US" w:eastAsia="zh-CN"/>
              </w:rPr>
              <w:t>8</w:t>
            </w:r>
          </w:p>
        </w:tc>
        <w:tc>
          <w:tcPr>
            <w:tcW w:w="67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0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75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90" w:type="dxa"/>
            <w:noWrap w:val="0"/>
            <w:vAlign w:val="center"/>
          </w:tcPr>
          <w:p>
            <w:pPr>
              <w:jc w:val="center"/>
              <w:rPr>
                <w:rFonts w:hint="eastAsia" w:ascii="Times New Roman" w:hAnsi="Times New Roman" w:cs="Times New Roman" w:eastAsiaTheme="minorEastAsia"/>
                <w:color w:val="auto"/>
                <w:szCs w:val="21"/>
                <w:lang w:eastAsia="zh-CN"/>
              </w:rPr>
            </w:pPr>
            <w:r>
              <w:rPr>
                <w:rFonts w:hint="default" w:ascii="Times New Roman" w:hAnsi="Times New Roman" w:cs="Times New Roman"/>
                <w:color w:val="auto"/>
                <w:szCs w:val="21"/>
              </w:rPr>
              <w:t>1</w:t>
            </w:r>
            <w:r>
              <w:rPr>
                <w:rFonts w:hint="eastAsia" w:ascii="Times New Roman" w:hAnsi="Times New Roman" w:cs="Times New Roman"/>
                <w:color w:val="auto"/>
                <w:szCs w:val="21"/>
                <w:lang w:val="en-US" w:eastAsia="zh-CN"/>
              </w:rPr>
              <w:t>5</w:t>
            </w:r>
          </w:p>
        </w:tc>
        <w:tc>
          <w:tcPr>
            <w:tcW w:w="64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3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0.5</w:t>
            </w:r>
          </w:p>
        </w:tc>
        <w:tc>
          <w:tcPr>
            <w:tcW w:w="66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9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ND</w:t>
            </w:r>
          </w:p>
        </w:tc>
        <w:tc>
          <w:tcPr>
            <w:tcW w:w="597"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99.999%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69"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出水</w:t>
            </w:r>
          </w:p>
        </w:tc>
        <w:tc>
          <w:tcPr>
            <w:tcW w:w="630" w:type="dxa"/>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000000"/>
                <w:szCs w:val="21"/>
                <w:lang w:val="en-US" w:eastAsia="zh-CN"/>
              </w:rPr>
              <w:t>5</w:t>
            </w:r>
          </w:p>
        </w:tc>
        <w:tc>
          <w:tcPr>
            <w:tcW w:w="61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7.24</w:t>
            </w:r>
          </w:p>
        </w:tc>
        <w:tc>
          <w:tcPr>
            <w:tcW w:w="615" w:type="dxa"/>
            <w:noWrap w:val="0"/>
            <w:vAlign w:val="center"/>
          </w:tcPr>
          <w:p>
            <w:pPr>
              <w:jc w:val="center"/>
              <w:rPr>
                <w:rFonts w:hint="eastAsia" w:ascii="Times New Roman" w:hAnsi="Times New Roman" w:cs="Times New Roman" w:eastAsiaTheme="minorEastAsia"/>
                <w:color w:val="auto"/>
                <w:szCs w:val="21"/>
                <w:lang w:eastAsia="zh-CN"/>
              </w:rPr>
            </w:pPr>
            <w:r>
              <w:rPr>
                <w:rFonts w:hint="default" w:ascii="Times New Roman" w:hAnsi="Times New Roman" w:cs="Times New Roman"/>
                <w:color w:val="auto"/>
                <w:szCs w:val="21"/>
              </w:rPr>
              <w:t>4</w:t>
            </w:r>
            <w:r>
              <w:rPr>
                <w:rFonts w:hint="eastAsia" w:ascii="Times New Roman" w:hAnsi="Times New Roman" w:cs="Times New Roman"/>
                <w:color w:val="auto"/>
                <w:szCs w:val="21"/>
                <w:lang w:val="en-US" w:eastAsia="zh-CN"/>
              </w:rPr>
              <w:t>8</w:t>
            </w:r>
          </w:p>
        </w:tc>
        <w:tc>
          <w:tcPr>
            <w:tcW w:w="67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0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75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90" w:type="dxa"/>
            <w:noWrap w:val="0"/>
            <w:vAlign w:val="center"/>
          </w:tcPr>
          <w:p>
            <w:pPr>
              <w:jc w:val="center"/>
              <w:rPr>
                <w:rFonts w:hint="eastAsia" w:ascii="Times New Roman" w:hAnsi="Times New Roman" w:cs="Times New Roman" w:eastAsiaTheme="minorEastAsia"/>
                <w:color w:val="auto"/>
                <w:szCs w:val="21"/>
                <w:lang w:eastAsia="zh-CN"/>
              </w:rPr>
            </w:pPr>
            <w:r>
              <w:rPr>
                <w:rFonts w:hint="default" w:ascii="Times New Roman" w:hAnsi="Times New Roman" w:cs="Times New Roman"/>
                <w:color w:val="auto"/>
                <w:szCs w:val="21"/>
              </w:rPr>
              <w:t>1</w:t>
            </w:r>
            <w:r>
              <w:rPr>
                <w:rFonts w:hint="eastAsia" w:ascii="Times New Roman" w:hAnsi="Times New Roman" w:cs="Times New Roman"/>
                <w:color w:val="auto"/>
                <w:szCs w:val="21"/>
                <w:lang w:val="en-US" w:eastAsia="zh-CN"/>
              </w:rPr>
              <w:t>5</w:t>
            </w:r>
          </w:p>
        </w:tc>
        <w:tc>
          <w:tcPr>
            <w:tcW w:w="64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3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0.5</w:t>
            </w:r>
          </w:p>
        </w:tc>
        <w:tc>
          <w:tcPr>
            <w:tcW w:w="66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90" w:type="dxa"/>
            <w:noWrap w:val="0"/>
            <w:vAlign w:val="center"/>
          </w:tcPr>
          <w:p>
            <w:pPr>
              <w:jc w:val="center"/>
              <w:rPr>
                <w:rFonts w:hint="default" w:ascii="Times New Roman" w:hAnsi="Times New Roman" w:cs="Times New Roman"/>
                <w:color w:val="auto"/>
                <w:szCs w:val="21"/>
              </w:rPr>
            </w:pPr>
          </w:p>
        </w:tc>
        <w:tc>
          <w:tcPr>
            <w:tcW w:w="597" w:type="dxa"/>
            <w:noWrap w:val="0"/>
            <w:vAlign w:val="center"/>
          </w:tcPr>
          <w:p>
            <w:pPr>
              <w:jc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769" w:type="dxa"/>
            <w:noWrap w:val="0"/>
            <w:vAlign w:val="center"/>
          </w:tcPr>
          <w:p>
            <w:pPr>
              <w:rPr>
                <w:rFonts w:hint="default" w:ascii="Times New Roman" w:hAnsi="Times New Roman" w:cs="Times New Roman"/>
                <w:color w:val="auto"/>
                <w:szCs w:val="21"/>
              </w:rPr>
            </w:pPr>
            <w:r>
              <w:rPr>
                <w:rFonts w:hint="default" w:ascii="Times New Roman" w:hAnsi="Times New Roman" w:cs="Times New Roman"/>
                <w:color w:val="auto"/>
              </w:rPr>
              <w:t>（GB/T 18920-2020）</w:t>
            </w:r>
            <w:r>
              <w:rPr>
                <w:rFonts w:hint="default" w:ascii="Times New Roman" w:hAnsi="Times New Roman" w:cs="Times New Roman"/>
                <w:color w:val="auto"/>
                <w:szCs w:val="21"/>
              </w:rPr>
              <w:t>标准限值</w:t>
            </w:r>
          </w:p>
        </w:tc>
        <w:tc>
          <w:tcPr>
            <w:tcW w:w="63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1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c>
          <w:tcPr>
            <w:tcW w:w="61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7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0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75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9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4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3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66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90" w:type="dxa"/>
            <w:noWrap w:val="0"/>
            <w:vAlign w:val="center"/>
          </w:tcPr>
          <w:p>
            <w:pPr>
              <w:jc w:val="center"/>
              <w:rPr>
                <w:rFonts w:hint="default" w:ascii="Times New Roman" w:hAnsi="Times New Roman" w:cs="Times New Roman"/>
                <w:color w:val="auto"/>
                <w:szCs w:val="21"/>
              </w:rPr>
            </w:pPr>
          </w:p>
        </w:tc>
        <w:tc>
          <w:tcPr>
            <w:tcW w:w="597" w:type="dxa"/>
            <w:noWrap w:val="0"/>
            <w:vAlign w:val="center"/>
          </w:tcPr>
          <w:p>
            <w:pPr>
              <w:jc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69"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达标性判定</w:t>
            </w:r>
          </w:p>
        </w:tc>
        <w:tc>
          <w:tcPr>
            <w:tcW w:w="63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1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1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67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0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75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9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64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3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66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90" w:type="dxa"/>
            <w:noWrap w:val="0"/>
            <w:vAlign w:val="center"/>
          </w:tcPr>
          <w:p>
            <w:pPr>
              <w:jc w:val="center"/>
              <w:rPr>
                <w:rFonts w:hint="default" w:ascii="Times New Roman" w:hAnsi="Times New Roman" w:cs="Times New Roman"/>
                <w:color w:val="auto"/>
                <w:szCs w:val="21"/>
              </w:rPr>
            </w:pPr>
          </w:p>
        </w:tc>
        <w:tc>
          <w:tcPr>
            <w:tcW w:w="597" w:type="dxa"/>
            <w:noWrap w:val="0"/>
            <w:vAlign w:val="center"/>
          </w:tcPr>
          <w:p>
            <w:pPr>
              <w:jc w:val="center"/>
              <w:rPr>
                <w:rFonts w:hint="default" w:ascii="Times New Roman" w:hAnsi="Times New Roman" w:cs="Times New Roman"/>
                <w:color w:val="auto"/>
                <w:szCs w:val="21"/>
              </w:rPr>
            </w:pPr>
          </w:p>
        </w:tc>
      </w:tr>
    </w:tbl>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格栅+</w:t>
      </w:r>
      <w:r>
        <w:rPr>
          <w:rFonts w:hint="default" w:ascii="Times New Roman" w:hAnsi="Times New Roman" w:cs="Times New Roman"/>
          <w:color w:val="auto"/>
          <w:sz w:val="24"/>
        </w:rPr>
        <w:t>调节池+</w:t>
      </w:r>
      <w:r>
        <w:rPr>
          <w:rFonts w:hint="default" w:ascii="Times New Roman" w:hAnsi="Times New Roman" w:cs="Times New Roman"/>
          <w:sz w:val="24"/>
          <w:szCs w:val="22"/>
          <w:lang w:val="en-US" w:eastAsia="zh-CN"/>
        </w:rPr>
        <w:t>A</w:t>
      </w:r>
      <w:r>
        <w:rPr>
          <w:rFonts w:hint="default" w:ascii="Times New Roman" w:hAnsi="Times New Roman" w:cs="Times New Roman"/>
          <w:sz w:val="24"/>
          <w:szCs w:val="22"/>
          <w:vertAlign w:val="subscript"/>
          <w:lang w:val="en-US" w:eastAsia="zh-CN"/>
        </w:rPr>
        <w:t>2</w:t>
      </w:r>
      <w:r>
        <w:rPr>
          <w:rFonts w:hint="default" w:ascii="Times New Roman" w:hAnsi="Times New Roman" w:cs="Times New Roman"/>
          <w:sz w:val="24"/>
          <w:szCs w:val="22"/>
          <w:lang w:val="en-US" w:eastAsia="zh-CN"/>
        </w:rPr>
        <w:t>0+</w:t>
      </w:r>
      <w:r>
        <w:rPr>
          <w:rFonts w:hint="default" w:ascii="Times New Roman" w:hAnsi="Times New Roman" w:cs="Times New Roman"/>
          <w:color w:val="auto"/>
          <w:sz w:val="24"/>
        </w:rPr>
        <w:t>MBR 膜生物反应+消毒”废水处理设施对CODcr去除效率按90%计、BOD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去除率按94.8%计、SS去除率按94%计、氨氮去除率按9</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%计、粪大肠菌群去除率按99.999%计，处理后出水水质可满足《医疗机构水污染物排放标准》(GB18466-2005)表2中排放标准，同时按照处理后出水浓度可</w:t>
      </w:r>
      <w:r>
        <w:rPr>
          <w:rFonts w:hint="default" w:ascii="Times New Roman" w:hAnsi="Times New Roman" w:cs="Times New Roman"/>
          <w:color w:val="000000"/>
          <w:sz w:val="24"/>
        </w:rPr>
        <w:t>知污水处理设施出水满足《城市污水再生利用 城市杂用水水质》(GB/T 18920-2020)中</w:t>
      </w:r>
      <w:r>
        <w:rPr>
          <w:rFonts w:hint="eastAsia" w:ascii="Times New Roman" w:hAnsi="Times New Roman" w:cs="Times New Roman"/>
          <w:color w:val="000000"/>
          <w:sz w:val="24"/>
          <w:lang w:val="en-US" w:eastAsia="zh-CN"/>
        </w:rPr>
        <w:t>绿化</w:t>
      </w:r>
      <w:r>
        <w:rPr>
          <w:rFonts w:hint="default" w:ascii="Times New Roman" w:hAnsi="Times New Roman" w:cs="Times New Roman"/>
          <w:color w:val="000000"/>
          <w:sz w:val="24"/>
        </w:rPr>
        <w:t>用水水质标准值。该废水处理工艺经济可靠，具有耗能小、造价低、管理简便等特点。此废水治理措施从技术角度看，针对不同废水水质情况分别加以处理，所采用的处理工艺成熟，技术可靠，可使废水稳定达到回用要求；从经济角度看，项目废水能够处理达标后全部综合利用不排放，节约了水资源；吨</w:t>
      </w:r>
      <w:r>
        <w:rPr>
          <w:rFonts w:hint="default" w:ascii="Times New Roman" w:hAnsi="Times New Roman" w:cs="Times New Roman"/>
          <w:sz w:val="24"/>
        </w:rPr>
        <w:t>水处理费用约0.5元/m</w:t>
      </w:r>
      <w:r>
        <w:rPr>
          <w:rFonts w:hint="default" w:ascii="Times New Roman" w:hAnsi="Times New Roman" w:cs="Times New Roman"/>
          <w:sz w:val="24"/>
          <w:vertAlign w:val="superscript"/>
        </w:rPr>
        <w:t>3</w:t>
      </w:r>
      <w:r>
        <w:rPr>
          <w:rFonts w:hint="default" w:ascii="Times New Roman" w:hAnsi="Times New Roman" w:cs="Times New Roman"/>
          <w:sz w:val="24"/>
        </w:rPr>
        <w:t>，废水处理费用和运行费用均</w:t>
      </w:r>
      <w:r>
        <w:rPr>
          <w:sz w:val="24"/>
        </w:rPr>
        <w:t>较为合理</w:t>
      </w:r>
      <w:r>
        <w:rPr>
          <w:rFonts w:hint="eastAsia"/>
          <w:sz w:val="24"/>
        </w:rPr>
        <w:t>。</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rPr>
        <w:t>按照《排污许可证申请与核发技术规范 工业固体废物和危险废物治理》（HJ1033-2019）附录D表D.4医疗废物处置排污单位废水治理可行技术参考表，见下表6.2-3。</w:t>
      </w:r>
    </w:p>
    <w:p>
      <w:pPr>
        <w:jc w:val="center"/>
        <w:rPr>
          <w:rFonts w:hint="default" w:ascii="Times New Roman" w:hAnsi="Times New Roman" w:cs="Times New Roman"/>
          <w:b/>
          <w:bCs/>
          <w:szCs w:val="21"/>
        </w:rPr>
      </w:pPr>
      <w:r>
        <w:rPr>
          <w:rFonts w:hint="default" w:ascii="Times New Roman" w:hAnsi="Times New Roman" w:cs="Times New Roman"/>
          <w:b/>
          <w:bCs/>
          <w:szCs w:val="21"/>
        </w:rPr>
        <w:t>表6.2-3  医疗废物处置排污单位废水治理可行技术参考表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1815"/>
        <w:gridCol w:w="1215"/>
        <w:gridCol w:w="40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8" w:type="dxa"/>
            <w:noWrap w:val="0"/>
            <w:vAlign w:val="top"/>
          </w:tcPr>
          <w:p>
            <w:pPr>
              <w:jc w:val="center"/>
              <w:rPr>
                <w:rFonts w:hint="default" w:ascii="Times New Roman" w:hAnsi="Times New Roman" w:cs="Times New Roman"/>
                <w:b/>
                <w:bCs/>
                <w:szCs w:val="21"/>
              </w:rPr>
            </w:pPr>
            <w:r>
              <w:rPr>
                <w:rFonts w:hint="default" w:ascii="Times New Roman" w:hAnsi="Times New Roman" w:cs="Times New Roman"/>
                <w:b/>
                <w:bCs/>
                <w:szCs w:val="21"/>
              </w:rPr>
              <w:t>废水类别</w:t>
            </w:r>
          </w:p>
        </w:tc>
        <w:tc>
          <w:tcPr>
            <w:tcW w:w="1815" w:type="dxa"/>
            <w:noWrap w:val="0"/>
            <w:vAlign w:val="top"/>
          </w:tcPr>
          <w:p>
            <w:pPr>
              <w:jc w:val="center"/>
              <w:rPr>
                <w:rFonts w:hint="default" w:ascii="Times New Roman" w:hAnsi="Times New Roman" w:cs="Times New Roman"/>
                <w:b/>
                <w:bCs/>
                <w:szCs w:val="21"/>
              </w:rPr>
            </w:pPr>
            <w:r>
              <w:rPr>
                <w:rFonts w:hint="default" w:ascii="Times New Roman" w:hAnsi="Times New Roman" w:cs="Times New Roman"/>
                <w:b/>
                <w:bCs/>
                <w:szCs w:val="21"/>
              </w:rPr>
              <w:t>污染物种类</w:t>
            </w:r>
          </w:p>
        </w:tc>
        <w:tc>
          <w:tcPr>
            <w:tcW w:w="1215" w:type="dxa"/>
            <w:noWrap w:val="0"/>
            <w:vAlign w:val="top"/>
          </w:tcPr>
          <w:p>
            <w:pPr>
              <w:jc w:val="center"/>
              <w:rPr>
                <w:rFonts w:hint="default" w:ascii="Times New Roman" w:hAnsi="Times New Roman" w:cs="Times New Roman"/>
                <w:b/>
                <w:bCs/>
                <w:szCs w:val="21"/>
              </w:rPr>
            </w:pPr>
            <w:r>
              <w:rPr>
                <w:rFonts w:hint="default" w:ascii="Times New Roman" w:hAnsi="Times New Roman" w:cs="Times New Roman"/>
                <w:b/>
                <w:bCs/>
                <w:szCs w:val="21"/>
              </w:rPr>
              <w:t>排放方式</w:t>
            </w:r>
          </w:p>
        </w:tc>
        <w:tc>
          <w:tcPr>
            <w:tcW w:w="4034" w:type="dxa"/>
            <w:noWrap w:val="0"/>
            <w:vAlign w:val="top"/>
          </w:tcPr>
          <w:p>
            <w:pPr>
              <w:jc w:val="center"/>
              <w:rPr>
                <w:rFonts w:hint="default" w:ascii="Times New Roman" w:hAnsi="Times New Roman" w:cs="Times New Roman"/>
                <w:b/>
                <w:bCs/>
                <w:szCs w:val="21"/>
              </w:rPr>
            </w:pPr>
            <w:r>
              <w:rPr>
                <w:rFonts w:hint="default" w:ascii="Times New Roman" w:hAnsi="Times New Roman" w:cs="Times New Roman"/>
                <w:b/>
                <w:bCs/>
                <w:szCs w:val="21"/>
              </w:rPr>
              <w:t>可行技术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8"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厂区内综合污水处理站排水</w:t>
            </w:r>
          </w:p>
        </w:tc>
        <w:tc>
          <w:tcPr>
            <w:tcW w:w="1815"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pH</w:t>
            </w:r>
            <w:r>
              <w:rPr>
                <w:rFonts w:hint="default" w:ascii="Times New Roman" w:hAnsi="Times New Roman" w:cs="Times New Roman"/>
              </w:rPr>
              <w:t>、总余氯</w:t>
            </w:r>
            <w:r>
              <w:rPr>
                <w:rFonts w:hint="default" w:ascii="Times New Roman" w:hAnsi="Times New Roman" w:cs="Times New Roman"/>
                <w:szCs w:val="21"/>
              </w:rPr>
              <w:t>、</w:t>
            </w:r>
            <w:r>
              <w:rPr>
                <w:rFonts w:hint="default" w:ascii="Times New Roman" w:hAnsi="Times New Roman" w:cs="Times New Roman"/>
              </w:rPr>
              <w:t>COD、SS、粪大肠菌群、BOD</w:t>
            </w:r>
            <w:r>
              <w:rPr>
                <w:rFonts w:hint="default" w:ascii="Times New Roman" w:hAnsi="Times New Roman" w:cs="Times New Roman"/>
                <w:vertAlign w:val="subscript"/>
              </w:rPr>
              <w:t>5</w:t>
            </w: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rPr>
              <w:t>-N</w:t>
            </w:r>
          </w:p>
        </w:tc>
        <w:tc>
          <w:tcPr>
            <w:tcW w:w="121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间接排放</w:t>
            </w:r>
          </w:p>
        </w:tc>
        <w:tc>
          <w:tcPr>
            <w:tcW w:w="4034"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预处理（沉淀、过滤等）+消毒工艺（二氧化氯、次氯酸钠、液氯、紫外线、臭氧等）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8" w:type="dxa"/>
            <w:vMerge w:val="continue"/>
            <w:noWrap w:val="0"/>
            <w:vAlign w:val="center"/>
          </w:tcPr>
          <w:p>
            <w:pPr>
              <w:jc w:val="center"/>
              <w:rPr>
                <w:rFonts w:hint="default" w:ascii="Times New Roman" w:hAnsi="Times New Roman" w:cs="Times New Roman"/>
                <w:szCs w:val="21"/>
              </w:rPr>
            </w:pPr>
          </w:p>
        </w:tc>
        <w:tc>
          <w:tcPr>
            <w:tcW w:w="1815" w:type="dxa"/>
            <w:vMerge w:val="continue"/>
            <w:noWrap w:val="0"/>
            <w:vAlign w:val="center"/>
          </w:tcPr>
          <w:p>
            <w:pPr>
              <w:jc w:val="center"/>
              <w:rPr>
                <w:rFonts w:hint="default" w:ascii="Times New Roman" w:hAnsi="Times New Roman" w:cs="Times New Roman"/>
                <w:szCs w:val="21"/>
              </w:rPr>
            </w:pPr>
          </w:p>
        </w:tc>
        <w:tc>
          <w:tcPr>
            <w:tcW w:w="121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直接排放</w:t>
            </w:r>
          </w:p>
        </w:tc>
        <w:tc>
          <w:tcPr>
            <w:tcW w:w="4034"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预处理（沉淀、过滤等）+生化处理（活性污泥法、生物膜法等）+消毒工艺（二氧化氯、次氯酸钠、液氯、紫外线、臭氧等）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8" w:type="dxa"/>
            <w:vMerge w:val="continue"/>
            <w:noWrap w:val="0"/>
            <w:vAlign w:val="center"/>
          </w:tcPr>
          <w:p>
            <w:pPr>
              <w:jc w:val="center"/>
              <w:rPr>
                <w:rFonts w:hint="default" w:ascii="Times New Roman" w:hAnsi="Times New Roman" w:cs="Times New Roman"/>
                <w:szCs w:val="21"/>
              </w:rPr>
            </w:pPr>
          </w:p>
        </w:tc>
        <w:tc>
          <w:tcPr>
            <w:tcW w:w="1815" w:type="dxa"/>
            <w:vMerge w:val="continue"/>
            <w:noWrap w:val="0"/>
            <w:vAlign w:val="center"/>
          </w:tcPr>
          <w:p>
            <w:pPr>
              <w:jc w:val="center"/>
              <w:rPr>
                <w:rFonts w:hint="default" w:ascii="Times New Roman" w:hAnsi="Times New Roman" w:cs="Times New Roman"/>
                <w:szCs w:val="21"/>
              </w:rPr>
            </w:pPr>
          </w:p>
        </w:tc>
        <w:tc>
          <w:tcPr>
            <w:tcW w:w="121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其他</w:t>
            </w:r>
          </w:p>
        </w:tc>
        <w:tc>
          <w:tcPr>
            <w:tcW w:w="4034"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预处理（沉淀、过滤等）+生化处理（活性污泥法、生物膜法等）+深度处理（絮凝沉淀法、砂滤法、活性炭法、臭氧氧化法、膜分离法等）+消毒工艺（二氧化氯、次氯酸钠、液氯、紫外线、臭氧等）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8"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生活污水处理设施排水</w:t>
            </w:r>
          </w:p>
        </w:tc>
        <w:tc>
          <w:tcPr>
            <w:tcW w:w="1815"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pH</w:t>
            </w:r>
            <w:r>
              <w:rPr>
                <w:rFonts w:hint="default" w:ascii="Times New Roman" w:hAnsi="Times New Roman" w:cs="Times New Roman"/>
              </w:rPr>
              <w:t>、COD、SS、粪大肠菌群、BOD</w:t>
            </w:r>
            <w:r>
              <w:rPr>
                <w:rFonts w:hint="default" w:ascii="Times New Roman" w:hAnsi="Times New Roman" w:cs="Times New Roman"/>
                <w:vertAlign w:val="subscript"/>
              </w:rPr>
              <w:t>5</w:t>
            </w: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rPr>
              <w:t>-N、总磷</w:t>
            </w:r>
          </w:p>
        </w:tc>
        <w:tc>
          <w:tcPr>
            <w:tcW w:w="121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间接排放</w:t>
            </w:r>
          </w:p>
        </w:tc>
        <w:tc>
          <w:tcPr>
            <w:tcW w:w="4034"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预处理（过滤、沉淀等）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8" w:type="dxa"/>
            <w:vMerge w:val="continue"/>
            <w:noWrap w:val="0"/>
            <w:vAlign w:val="center"/>
          </w:tcPr>
          <w:p>
            <w:pPr>
              <w:jc w:val="center"/>
              <w:rPr>
                <w:rFonts w:hint="default" w:ascii="Times New Roman" w:hAnsi="Times New Roman" w:cs="Times New Roman"/>
                <w:szCs w:val="21"/>
              </w:rPr>
            </w:pPr>
          </w:p>
        </w:tc>
        <w:tc>
          <w:tcPr>
            <w:tcW w:w="1815" w:type="dxa"/>
            <w:vMerge w:val="continue"/>
            <w:noWrap w:val="0"/>
            <w:vAlign w:val="center"/>
          </w:tcPr>
          <w:p>
            <w:pPr>
              <w:jc w:val="center"/>
              <w:rPr>
                <w:rFonts w:hint="default" w:ascii="Times New Roman" w:hAnsi="Times New Roman" w:cs="Times New Roman"/>
                <w:szCs w:val="21"/>
              </w:rPr>
            </w:pPr>
          </w:p>
        </w:tc>
        <w:tc>
          <w:tcPr>
            <w:tcW w:w="121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直接排放</w:t>
            </w:r>
          </w:p>
        </w:tc>
        <w:tc>
          <w:tcPr>
            <w:tcW w:w="4034"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预处理（沉淀、过滤等）+生化处理（活性污泥法、生物膜法等）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8" w:type="dxa"/>
            <w:vMerge w:val="continue"/>
            <w:noWrap w:val="0"/>
            <w:vAlign w:val="center"/>
          </w:tcPr>
          <w:p>
            <w:pPr>
              <w:jc w:val="center"/>
              <w:rPr>
                <w:rFonts w:hint="default" w:ascii="Times New Roman" w:hAnsi="Times New Roman" w:cs="Times New Roman"/>
                <w:szCs w:val="21"/>
              </w:rPr>
            </w:pPr>
          </w:p>
        </w:tc>
        <w:tc>
          <w:tcPr>
            <w:tcW w:w="1815" w:type="dxa"/>
            <w:vMerge w:val="continue"/>
            <w:noWrap w:val="0"/>
            <w:vAlign w:val="center"/>
          </w:tcPr>
          <w:p>
            <w:pPr>
              <w:jc w:val="center"/>
              <w:rPr>
                <w:rFonts w:hint="default" w:ascii="Times New Roman" w:hAnsi="Times New Roman" w:cs="Times New Roman"/>
                <w:szCs w:val="21"/>
              </w:rPr>
            </w:pPr>
          </w:p>
        </w:tc>
        <w:tc>
          <w:tcPr>
            <w:tcW w:w="121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其他</w:t>
            </w:r>
          </w:p>
        </w:tc>
        <w:tc>
          <w:tcPr>
            <w:tcW w:w="4034"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预处理（沉淀、过滤等）+生化处理（活性污泥法、生物膜法等）</w:t>
            </w:r>
          </w:p>
        </w:tc>
      </w:tr>
    </w:tbl>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color w:val="auto"/>
          <w:sz w:val="24"/>
        </w:rPr>
        <w:t>本项目生产废水</w:t>
      </w:r>
      <w:r>
        <w:rPr>
          <w:rFonts w:hint="default" w:ascii="Times New Roman" w:hAnsi="Times New Roman" w:cs="Times New Roman"/>
          <w:color w:val="auto"/>
          <w:sz w:val="24"/>
          <w:lang w:val="en-US" w:eastAsia="zh-CN"/>
        </w:rPr>
        <w:t>非供暖季</w:t>
      </w:r>
      <w:r>
        <w:rPr>
          <w:rFonts w:hint="default" w:ascii="Times New Roman" w:hAnsi="Times New Roman" w:cs="Times New Roman"/>
          <w:color w:val="auto"/>
          <w:sz w:val="24"/>
        </w:rPr>
        <w:t>处理后全部回用不外排，</w:t>
      </w:r>
      <w:r>
        <w:rPr>
          <w:rFonts w:hint="default" w:ascii="Times New Roman" w:hAnsi="Times New Roman" w:cs="Times New Roman"/>
          <w:color w:val="auto"/>
          <w:sz w:val="24"/>
          <w:lang w:val="en-US" w:eastAsia="zh-CN"/>
        </w:rPr>
        <w:t>供暖季处理后经罐车拉运至</w:t>
      </w:r>
      <w:r>
        <w:rPr>
          <w:rFonts w:hint="eastAsia" w:ascii="Times New Roman" w:hAnsi="Times New Roman" w:cs="Times New Roman"/>
          <w:color w:val="auto"/>
          <w:sz w:val="24"/>
          <w:lang w:val="en-US" w:eastAsia="zh-CN"/>
        </w:rPr>
        <w:t>突泉县突泉镇清源污水处理厂</w:t>
      </w:r>
      <w:r>
        <w:rPr>
          <w:rFonts w:hint="default" w:ascii="Times New Roman" w:hAnsi="Times New Roman" w:cs="Times New Roman"/>
          <w:color w:val="auto"/>
          <w:sz w:val="24"/>
          <w:lang w:val="en-US" w:eastAsia="zh-CN"/>
        </w:rPr>
        <w:t>进一步处理。</w:t>
      </w:r>
      <w:r>
        <w:rPr>
          <w:rFonts w:hint="default" w:ascii="Times New Roman" w:hAnsi="Times New Roman" w:cs="Times New Roman"/>
          <w:color w:val="auto"/>
          <w:sz w:val="24"/>
        </w:rPr>
        <w:t>项目采用“</w:t>
      </w:r>
      <w:r>
        <w:rPr>
          <w:rFonts w:hint="default" w:ascii="Times New Roman" w:hAnsi="Times New Roman" w:cs="Times New Roman"/>
          <w:color w:val="auto"/>
          <w:sz w:val="24"/>
          <w:lang w:val="en-US" w:eastAsia="zh-CN"/>
        </w:rPr>
        <w:t>格栅+</w:t>
      </w:r>
      <w:r>
        <w:rPr>
          <w:rFonts w:hint="default" w:ascii="Times New Roman" w:hAnsi="Times New Roman" w:cs="Times New Roman"/>
          <w:color w:val="auto"/>
          <w:sz w:val="24"/>
        </w:rPr>
        <w:t>调节池+</w:t>
      </w:r>
      <w:r>
        <w:rPr>
          <w:rFonts w:hint="default" w:ascii="Times New Roman" w:hAnsi="Times New Roman" w:cs="Times New Roman"/>
          <w:sz w:val="24"/>
          <w:szCs w:val="22"/>
          <w:lang w:val="en-US" w:eastAsia="zh-CN"/>
        </w:rPr>
        <w:t>A</w:t>
      </w:r>
      <w:r>
        <w:rPr>
          <w:rFonts w:hint="default" w:ascii="Times New Roman" w:hAnsi="Times New Roman" w:cs="Times New Roman"/>
          <w:sz w:val="24"/>
          <w:szCs w:val="22"/>
          <w:vertAlign w:val="subscript"/>
          <w:lang w:val="en-US" w:eastAsia="zh-CN"/>
        </w:rPr>
        <w:t>2</w:t>
      </w:r>
      <w:r>
        <w:rPr>
          <w:rFonts w:hint="default" w:ascii="Times New Roman" w:hAnsi="Times New Roman" w:cs="Times New Roman"/>
          <w:sz w:val="24"/>
          <w:szCs w:val="22"/>
          <w:lang w:val="en-US" w:eastAsia="zh-CN"/>
        </w:rPr>
        <w:t>0+</w:t>
      </w:r>
      <w:r>
        <w:rPr>
          <w:rFonts w:hint="default" w:ascii="Times New Roman" w:hAnsi="Times New Roman" w:cs="Times New Roman"/>
          <w:color w:val="auto"/>
          <w:sz w:val="24"/>
        </w:rPr>
        <w:t>MBR 膜生物反应+消毒</w:t>
      </w:r>
      <w:r>
        <w:rPr>
          <w:rFonts w:hint="default" w:ascii="Times New Roman" w:hAnsi="Times New Roman" w:cs="Times New Roman"/>
          <w:color w:val="auto"/>
          <w:sz w:val="24"/>
          <w:szCs w:val="24"/>
        </w:rPr>
        <w:t>”，处理工艺为预处理+生化处理+消毒工艺，满足排污许可技术要求；</w:t>
      </w:r>
      <w:r>
        <w:rPr>
          <w:rFonts w:hint="default" w:ascii="Times New Roman" w:hAnsi="Times New Roman" w:cs="Times New Roman"/>
          <w:color w:val="auto"/>
          <w:kern w:val="0"/>
          <w:sz w:val="24"/>
          <w:szCs w:val="24"/>
        </w:rPr>
        <w:t>生活污水</w:t>
      </w:r>
      <w:r>
        <w:rPr>
          <w:rFonts w:hint="default" w:ascii="Times New Roman" w:hAnsi="Times New Roman" w:cs="Times New Roman"/>
          <w:color w:val="auto"/>
          <w:kern w:val="0"/>
          <w:sz w:val="24"/>
          <w:szCs w:val="24"/>
          <w:lang w:eastAsia="zh-CN"/>
        </w:rPr>
        <w:t>排入本项目</w:t>
      </w:r>
      <w:r>
        <w:rPr>
          <w:rFonts w:hint="default" w:ascii="Times New Roman" w:hAnsi="Times New Roman" w:cs="Times New Roman"/>
          <w:color w:val="auto"/>
          <w:kern w:val="0"/>
          <w:sz w:val="24"/>
          <w:szCs w:val="24"/>
        </w:rPr>
        <w:t>新建防渗化粪池后</w:t>
      </w:r>
      <w:r>
        <w:rPr>
          <w:rFonts w:hint="default" w:ascii="Times New Roman" w:hAnsi="Times New Roman" w:cs="Times New Roman"/>
          <w:color w:val="auto"/>
          <w:sz w:val="24"/>
          <w:szCs w:val="24"/>
          <w:lang w:val="en-US" w:eastAsia="zh-CN"/>
        </w:rPr>
        <w:t>定期由吸污车清运至</w:t>
      </w:r>
      <w:r>
        <w:rPr>
          <w:rFonts w:hint="eastAsia" w:ascii="Times New Roman" w:hAnsi="Times New Roman" w:cs="Times New Roman"/>
          <w:color w:val="auto"/>
          <w:sz w:val="24"/>
          <w:szCs w:val="24"/>
          <w:lang w:val="en-US" w:eastAsia="zh-CN"/>
        </w:rPr>
        <w:t>突泉县突泉镇清源污水处理厂</w:t>
      </w:r>
      <w:r>
        <w:rPr>
          <w:rFonts w:hint="default" w:ascii="Times New Roman" w:hAnsi="Times New Roman" w:cs="Times New Roman"/>
          <w:color w:val="auto"/>
          <w:sz w:val="24"/>
          <w:szCs w:val="24"/>
          <w:lang w:val="en-US" w:eastAsia="zh-CN"/>
        </w:rPr>
        <w:t>处理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rPr>
        <w:t>故项目废水处理措施可</w:t>
      </w:r>
      <w:r>
        <w:rPr>
          <w:rFonts w:hint="eastAsia"/>
          <w:color w:val="auto"/>
          <w:sz w:val="24"/>
        </w:rPr>
        <w:t>行。</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color w:val="auto"/>
          <w:sz w:val="24"/>
        </w:rPr>
        <w:t>项目污水处</w:t>
      </w:r>
      <w:r>
        <w:rPr>
          <w:rFonts w:hint="default" w:ascii="Times New Roman" w:hAnsi="Times New Roman" w:cs="Times New Roman"/>
          <w:sz w:val="24"/>
        </w:rPr>
        <w:t>理设施比选方案见表6.2-4</w:t>
      </w:r>
      <w:r>
        <w:rPr>
          <w:sz w:val="24"/>
        </w:rPr>
        <w:t>。</w:t>
      </w:r>
    </w:p>
    <w:p>
      <w:pPr>
        <w:spacing w:line="360" w:lineRule="auto"/>
        <w:rPr>
          <w:rFonts w:hint="eastAsia" w:ascii="Times New Roman" w:hAnsi="Times New Roman" w:eastAsia="宋体" w:cs="Times New Roman"/>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ind w:firstLine="211" w:firstLineChars="100"/>
        <w:jc w:val="center"/>
        <w:rPr>
          <w:rFonts w:hint="default" w:ascii="Times New Roman" w:hAnsi="Times New Roman" w:cs="Times New Roman"/>
          <w:b/>
          <w:szCs w:val="21"/>
        </w:rPr>
      </w:pPr>
      <w:r>
        <w:rPr>
          <w:rFonts w:hint="default" w:ascii="Times New Roman" w:hAnsi="Times New Roman" w:cs="Times New Roman"/>
          <w:b/>
          <w:szCs w:val="21"/>
        </w:rPr>
        <w:t>表6.2-4   污水处理方案比选一览表</w:t>
      </w:r>
    </w:p>
    <w:tbl>
      <w:tblPr>
        <w:tblStyle w:val="20"/>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25"/>
        <w:gridCol w:w="2424"/>
        <w:gridCol w:w="1143"/>
        <w:gridCol w:w="3650"/>
        <w:gridCol w:w="3934"/>
        <w:gridCol w:w="198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825"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spacing w:val="1"/>
                <w:kern w:val="0"/>
                <w:szCs w:val="21"/>
              </w:rPr>
            </w:pPr>
            <w:r>
              <w:rPr>
                <w:rFonts w:hint="default" w:ascii="Times New Roman" w:hAnsi="Times New Roman" w:cs="Times New Roman"/>
                <w:spacing w:val="1"/>
                <w:kern w:val="0"/>
                <w:szCs w:val="21"/>
              </w:rPr>
              <w:t>工艺方案</w:t>
            </w:r>
          </w:p>
        </w:tc>
        <w:tc>
          <w:tcPr>
            <w:tcW w:w="2424"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A-O</w:t>
            </w:r>
          </w:p>
        </w:tc>
        <w:tc>
          <w:tcPr>
            <w:tcW w:w="1143"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SBR</w:t>
            </w:r>
          </w:p>
        </w:tc>
        <w:tc>
          <w:tcPr>
            <w:tcW w:w="3650"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BAF</w:t>
            </w:r>
          </w:p>
        </w:tc>
        <w:tc>
          <w:tcPr>
            <w:tcW w:w="3934"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MBR</w:t>
            </w:r>
          </w:p>
        </w:tc>
        <w:tc>
          <w:tcPr>
            <w:tcW w:w="1982"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氧化沟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36" w:hRule="exact"/>
        </w:trPr>
        <w:tc>
          <w:tcPr>
            <w:tcW w:w="825"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优点</w:t>
            </w:r>
          </w:p>
        </w:tc>
        <w:tc>
          <w:tcPr>
            <w:tcW w:w="2424"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①体积负荷高，停留时间短，</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节约占地面积；</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②生物活性高；</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③有较高的微生物浓度；</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④污泥产量低；</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⑤出水水质好且稳定；</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⑥动力消耗低；</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⑦不产生污泥膨胀；</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⑧挂膜方便，可间歇运行；</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⑨工艺运行简单，操作方便，</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抗冲击负荷能力强。</w:t>
            </w:r>
          </w:p>
        </w:tc>
        <w:tc>
          <w:tcPr>
            <w:tcW w:w="1143"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出水水质较好；</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不产生污泥膨</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胀；除磷脱氮效</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果好。</w:t>
            </w:r>
          </w:p>
        </w:tc>
        <w:tc>
          <w:tcPr>
            <w:tcW w:w="3650"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①总体投资省，包括机械设备、</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自控电气系统、土建和征地费；</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②占地面积小，通常为常规处理</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工艺占地面积的 80% ，厂区布置</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紧凑，美观；</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③出水质量好，可达到中水水质</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标准或生活杂用水水质标准；</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④工艺流程短，氧的传输效率高，</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供氧动力消耗低，处理单位污水</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的电耗低；</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⑤过滤速度高，处理负荷大大高</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于常规处理工艺；</w:t>
            </w:r>
          </w:p>
        </w:tc>
        <w:tc>
          <w:tcPr>
            <w:tcW w:w="3934"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①出水水质好</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②工艺参数易于控制，能实现</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HRT 与 SRT 的完全分离</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③设备紧凑，省掉二沉池，占地</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少</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④ 剩余污泥产量少</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⑤有利于增殖缓慢的硝化细菌</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的截留、生长和繁殖</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⑥ 克服了常规活性污泥法中容</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易发生污泥膨胀的弊端</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俏 系统可采用 PLC 控制，易于</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实现全程自动化</w:t>
            </w:r>
          </w:p>
        </w:tc>
        <w:tc>
          <w:tcPr>
            <w:tcW w:w="1982"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进出水装置简单；污水的</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流态可看成是完全混合</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式，由于池体狭长，又类</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似于推流式；BOD 负荷</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低，处理水质良好；污泥</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产率低，排泥量少；污泥</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龄长，具有脱氮的功能。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13" w:hRule="exact"/>
        </w:trPr>
        <w:tc>
          <w:tcPr>
            <w:tcW w:w="825"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缺点</w:t>
            </w:r>
          </w:p>
        </w:tc>
        <w:tc>
          <w:tcPr>
            <w:tcW w:w="2424"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池内填料间的生物膜有时会出</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现堵塞现象，尚待改进。研究</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的方向是针对不同的进水负荷</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控制曝气强度，以消除堵塞；</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其次是研究合理的氧化池池型</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和形状、尺寸和材质合适的填</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料。</w:t>
            </w:r>
          </w:p>
        </w:tc>
        <w:tc>
          <w:tcPr>
            <w:tcW w:w="1143"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池容和设备利用</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率低，占地面积</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较大、运行管理</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复杂，自控水平</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要求高</w:t>
            </w:r>
          </w:p>
        </w:tc>
        <w:tc>
          <w:tcPr>
            <w:tcW w:w="3650"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曝气生物滤池运行维护较复杂，</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尤其是填料的反洗与更换，从而</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导致运行费用也较高。</w:t>
            </w:r>
          </w:p>
        </w:tc>
        <w:tc>
          <w:tcPr>
            <w:tcW w:w="3934"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MBR 工艺造价相对较高，为普通污水处理工艺的 1.5-2.0 倍。国产膜片质量较差、使用时间较短，进口膜片价格过高，运行维护及更换费用较高。</w:t>
            </w:r>
          </w:p>
        </w:tc>
        <w:tc>
          <w:tcPr>
            <w:tcW w:w="1982"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能耗高，且占地面积较大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0" w:hRule="exact"/>
        </w:trPr>
        <w:tc>
          <w:tcPr>
            <w:tcW w:w="825"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占地面积</w:t>
            </w:r>
          </w:p>
        </w:tc>
        <w:tc>
          <w:tcPr>
            <w:tcW w:w="2424"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小</w:t>
            </w:r>
          </w:p>
        </w:tc>
        <w:tc>
          <w:tcPr>
            <w:tcW w:w="1143"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大</w:t>
            </w:r>
          </w:p>
        </w:tc>
        <w:tc>
          <w:tcPr>
            <w:tcW w:w="3650"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小</w:t>
            </w:r>
          </w:p>
        </w:tc>
        <w:tc>
          <w:tcPr>
            <w:tcW w:w="3934"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最小（一般工艺的 60%）</w:t>
            </w:r>
          </w:p>
        </w:tc>
        <w:tc>
          <w:tcPr>
            <w:tcW w:w="1982"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0" w:hRule="exact"/>
        </w:trPr>
        <w:tc>
          <w:tcPr>
            <w:tcW w:w="825"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投资费用</w:t>
            </w:r>
          </w:p>
        </w:tc>
        <w:tc>
          <w:tcPr>
            <w:tcW w:w="2424"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较低</w:t>
            </w:r>
          </w:p>
        </w:tc>
        <w:tc>
          <w:tcPr>
            <w:tcW w:w="1143"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低</w:t>
            </w:r>
          </w:p>
        </w:tc>
        <w:tc>
          <w:tcPr>
            <w:tcW w:w="3650"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高</w:t>
            </w:r>
          </w:p>
        </w:tc>
        <w:tc>
          <w:tcPr>
            <w:tcW w:w="3934"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较高</w:t>
            </w:r>
          </w:p>
        </w:tc>
        <w:tc>
          <w:tcPr>
            <w:tcW w:w="1982"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0" w:hRule="exact"/>
        </w:trPr>
        <w:tc>
          <w:tcPr>
            <w:tcW w:w="825"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运行费用</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及管理</w:t>
            </w:r>
          </w:p>
        </w:tc>
        <w:tc>
          <w:tcPr>
            <w:tcW w:w="2424"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运行费用较低</w:t>
            </w:r>
          </w:p>
        </w:tc>
        <w:tc>
          <w:tcPr>
            <w:tcW w:w="1143"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自动化程度要求较高</w:t>
            </w:r>
          </w:p>
        </w:tc>
        <w:tc>
          <w:tcPr>
            <w:tcW w:w="3650"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反洗等很难实现自动化操作，运</w:t>
            </w:r>
          </w:p>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行费用高</w:t>
            </w:r>
          </w:p>
        </w:tc>
        <w:tc>
          <w:tcPr>
            <w:tcW w:w="3934"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自动化程度高，运行费用低</w:t>
            </w:r>
          </w:p>
        </w:tc>
        <w:tc>
          <w:tcPr>
            <w:tcW w:w="1982"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自动化程度较低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0" w:hRule="exact"/>
        </w:trPr>
        <w:tc>
          <w:tcPr>
            <w:tcW w:w="825"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出水水质</w:t>
            </w:r>
          </w:p>
        </w:tc>
        <w:tc>
          <w:tcPr>
            <w:tcW w:w="2424"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好</w:t>
            </w:r>
          </w:p>
        </w:tc>
        <w:tc>
          <w:tcPr>
            <w:tcW w:w="1143"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较好</w:t>
            </w:r>
          </w:p>
        </w:tc>
        <w:tc>
          <w:tcPr>
            <w:tcW w:w="3650"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好</w:t>
            </w:r>
          </w:p>
        </w:tc>
        <w:tc>
          <w:tcPr>
            <w:tcW w:w="3934"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好</w:t>
            </w:r>
          </w:p>
        </w:tc>
        <w:tc>
          <w:tcPr>
            <w:tcW w:w="1982"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较好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825"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比选结果</w:t>
            </w:r>
          </w:p>
        </w:tc>
        <w:tc>
          <w:tcPr>
            <w:tcW w:w="2424"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推荐</w:t>
            </w:r>
          </w:p>
        </w:tc>
        <w:tc>
          <w:tcPr>
            <w:tcW w:w="1143"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不推荐</w:t>
            </w:r>
          </w:p>
        </w:tc>
        <w:tc>
          <w:tcPr>
            <w:tcW w:w="3650"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不推荐</w:t>
            </w:r>
          </w:p>
        </w:tc>
        <w:tc>
          <w:tcPr>
            <w:tcW w:w="3934"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推荐</w:t>
            </w:r>
          </w:p>
        </w:tc>
        <w:tc>
          <w:tcPr>
            <w:tcW w:w="1982" w:type="dxa"/>
            <w:shd w:val="clear" w:color="auto" w:fill="FFFFFF"/>
            <w:noWrap w:val="0"/>
            <w:vAlign w:val="center"/>
          </w:tcPr>
          <w:p>
            <w:pPr>
              <w:autoSpaceDE w:val="0"/>
              <w:autoSpaceDN w:val="0"/>
              <w:adjustRightInd w:val="0"/>
              <w:snapToGrid w:val="0"/>
              <w:spacing w:line="240" w:lineRule="auto"/>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不推荐</w:t>
            </w:r>
          </w:p>
        </w:tc>
      </w:tr>
    </w:tbl>
    <w:p>
      <w:pPr>
        <w:pStyle w:val="2"/>
        <w:ind w:left="0" w:leftChars="0" w:firstLine="0" w:firstLineChars="0"/>
        <w:rPr>
          <w:rFonts w:hint="eastAsia"/>
          <w:lang w:val="en-US" w:eastAsia="zh-CN"/>
        </w:rPr>
        <w:sectPr>
          <w:pgSz w:w="16838" w:h="11906" w:orient="landscape"/>
          <w:pgMar w:top="1800" w:right="1440" w:bottom="1800" w:left="1440" w:header="851" w:footer="992" w:gutter="0"/>
          <w:pgNumType w:fmt="decimal"/>
          <w:cols w:space="425" w:num="1"/>
          <w:docGrid w:type="lines" w:linePitch="312" w:charSpace="0"/>
        </w:sectPr>
      </w:pP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sz w:val="24"/>
        </w:rPr>
        <w:t>（3）污水处</w:t>
      </w:r>
      <w:r>
        <w:rPr>
          <w:rFonts w:hint="default" w:ascii="Times New Roman" w:hAnsi="Times New Roman" w:cs="Times New Roman"/>
          <w:color w:val="000000"/>
          <w:sz w:val="24"/>
        </w:rPr>
        <w:t>理效果分析</w:t>
      </w:r>
    </w:p>
    <w:p>
      <w:pPr>
        <w:bidi w:val="0"/>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color w:val="000000"/>
          <w:sz w:val="24"/>
        </w:rPr>
        <w:t>本项目废水水质及去向情况见表6.2-5。</w:t>
      </w:r>
    </w:p>
    <w:p>
      <w:pPr>
        <w:ind w:firstLine="211" w:firstLineChars="100"/>
        <w:jc w:val="center"/>
        <w:rPr>
          <w:rFonts w:hint="default" w:ascii="Times New Roman" w:hAnsi="Times New Roman" w:cs="Times New Roman" w:eastAsiaTheme="minorEastAsia"/>
          <w:b/>
          <w:color w:val="000000"/>
          <w:szCs w:val="21"/>
          <w:lang w:val="en-US" w:eastAsia="zh-CN"/>
        </w:rPr>
      </w:pPr>
      <w:r>
        <w:rPr>
          <w:rFonts w:hint="default" w:ascii="Times New Roman" w:hAnsi="Times New Roman" w:cs="Times New Roman"/>
          <w:b/>
          <w:color w:val="000000"/>
          <w:szCs w:val="21"/>
        </w:rPr>
        <w:t>表</w:t>
      </w:r>
      <w:r>
        <w:rPr>
          <w:rFonts w:hint="eastAsia" w:ascii="Times New Roman" w:hAnsi="Times New Roman" w:cs="Times New Roman"/>
          <w:b/>
          <w:color w:val="000000"/>
          <w:szCs w:val="21"/>
          <w:lang w:val="en-US" w:eastAsia="zh-CN"/>
        </w:rPr>
        <w:t>6.2-5</w:t>
      </w:r>
      <w:r>
        <w:rPr>
          <w:rFonts w:hint="default" w:ascii="Times New Roman" w:hAnsi="Times New Roman" w:cs="Times New Roman"/>
          <w:b/>
          <w:color w:val="000000"/>
          <w:szCs w:val="21"/>
        </w:rPr>
        <w:t xml:space="preserve">   </w:t>
      </w:r>
      <w:r>
        <w:rPr>
          <w:rFonts w:hint="eastAsia" w:ascii="Times New Roman" w:hAnsi="Times New Roman" w:cs="Times New Roman"/>
          <w:b/>
          <w:color w:val="000000"/>
          <w:szCs w:val="21"/>
          <w:lang w:val="en-US" w:eastAsia="zh-CN"/>
        </w:rPr>
        <w:t>污水处理设施进出水水质一览表</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57" w:type="dxa"/>
          <w:left w:w="57" w:type="dxa"/>
          <w:bottom w:w="57" w:type="dxa"/>
          <w:right w:w="57" w:type="dxa"/>
        </w:tblCellMar>
      </w:tblPr>
      <w:tblGrid>
        <w:gridCol w:w="1210"/>
        <w:gridCol w:w="593"/>
        <w:gridCol w:w="655"/>
        <w:gridCol w:w="971"/>
        <w:gridCol w:w="655"/>
        <w:gridCol w:w="655"/>
        <w:gridCol w:w="1103"/>
        <w:gridCol w:w="450"/>
        <w:gridCol w:w="450"/>
        <w:gridCol w:w="785"/>
        <w:gridCol w:w="893"/>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57" w:type="dxa"/>
            <w:left w:w="57" w:type="dxa"/>
            <w:bottom w:w="57" w:type="dxa"/>
            <w:right w:w="57" w:type="dxa"/>
          </w:tblCellMar>
        </w:tblPrEx>
        <w:trPr>
          <w:cantSplit/>
          <w:trHeight w:val="1543" w:hRule="atLeast"/>
          <w:jc w:val="center"/>
        </w:trPr>
        <w:tc>
          <w:tcPr>
            <w:tcW w:w="121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污染源</w:t>
            </w:r>
          </w:p>
        </w:tc>
        <w:tc>
          <w:tcPr>
            <w:tcW w:w="593"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污染物</w:t>
            </w:r>
          </w:p>
        </w:tc>
        <w:tc>
          <w:tcPr>
            <w:tcW w:w="65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产生浓度mg/L</w:t>
            </w:r>
          </w:p>
        </w:tc>
        <w:tc>
          <w:tcPr>
            <w:tcW w:w="971"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产生量t/a</w:t>
            </w:r>
          </w:p>
        </w:tc>
        <w:tc>
          <w:tcPr>
            <w:tcW w:w="65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处理后浓度mg/L</w:t>
            </w:r>
          </w:p>
        </w:tc>
        <w:tc>
          <w:tcPr>
            <w:tcW w:w="655" w:type="dxa"/>
            <w:noWrap w:val="0"/>
            <w:vAlign w:val="center"/>
          </w:tcPr>
          <w:p>
            <w:pPr>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val="en-US" w:eastAsia="zh-CN"/>
              </w:rPr>
              <w:t>供暖季</w:t>
            </w:r>
            <w:r>
              <w:rPr>
                <w:rFonts w:hint="default" w:ascii="Times New Roman" w:hAnsi="Times New Roman" w:cs="Times New Roman"/>
                <w:color w:val="000000"/>
                <w:szCs w:val="21"/>
              </w:rPr>
              <w:t>排放量</w:t>
            </w:r>
          </w:p>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t/a</w:t>
            </w:r>
          </w:p>
        </w:tc>
        <w:tc>
          <w:tcPr>
            <w:tcW w:w="1103"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GB18466-2005</w:t>
            </w:r>
          </w:p>
          <w:p>
            <w:pPr>
              <w:jc w:val="center"/>
              <w:rPr>
                <w:rFonts w:hint="default" w:ascii="Times New Roman" w:hAnsi="Times New Roman" w:cs="Times New Roman"/>
                <w:color w:val="000000"/>
                <w:szCs w:val="21"/>
                <w:highlight w:val="yellow"/>
              </w:rPr>
            </w:pPr>
            <w:r>
              <w:rPr>
                <w:rFonts w:hint="default" w:ascii="Times New Roman" w:hAnsi="Times New Roman" w:cs="Times New Roman"/>
                <w:color w:val="000000"/>
                <w:szCs w:val="21"/>
              </w:rPr>
              <w:t>单位mg/L</w:t>
            </w:r>
          </w:p>
        </w:tc>
        <w:tc>
          <w:tcPr>
            <w:tcW w:w="450" w:type="dxa"/>
            <w:noWrap w:val="0"/>
            <w:vAlign w:val="center"/>
          </w:tcPr>
          <w:p>
            <w:pPr>
              <w:jc w:val="center"/>
              <w:rPr>
                <w:rFonts w:hint="default" w:ascii="Times New Roman" w:hAnsi="Times New Roman" w:cs="Times New Roman"/>
                <w:color w:val="000000"/>
                <w:szCs w:val="21"/>
                <w:highlight w:val="yellow"/>
              </w:rPr>
            </w:pPr>
            <w:r>
              <w:rPr>
                <w:rFonts w:hint="default" w:ascii="Times New Roman" w:hAnsi="Times New Roman" w:cs="Times New Roman"/>
                <w:color w:val="000000"/>
              </w:rPr>
              <w:t>GB/T 18920-2020</w:t>
            </w:r>
            <w:r>
              <w:rPr>
                <w:rFonts w:hint="default" w:ascii="Times New Roman" w:hAnsi="Times New Roman" w:cs="Times New Roman"/>
                <w:color w:val="000000"/>
                <w:szCs w:val="21"/>
              </w:rPr>
              <w:t>单位mg/L</w:t>
            </w:r>
          </w:p>
        </w:tc>
        <w:tc>
          <w:tcPr>
            <w:tcW w:w="450" w:type="dxa"/>
            <w:noWrap w:val="0"/>
            <w:vAlign w:val="center"/>
          </w:tcPr>
          <w:p>
            <w:pPr>
              <w:jc w:val="center"/>
              <w:rPr>
                <w:rFonts w:hint="default" w:ascii="Times New Roman" w:hAnsi="Times New Roman" w:cs="Times New Roman" w:eastAsiaTheme="minorEastAsia"/>
                <w:color w:val="000000"/>
                <w:lang w:val="en-US" w:eastAsia="zh-CN"/>
              </w:rPr>
            </w:pPr>
            <w:r>
              <w:rPr>
                <w:rFonts w:hint="eastAsia" w:ascii="Times New Roman" w:hAnsi="Times New Roman" w:cs="Times New Roman"/>
                <w:color w:val="000000"/>
                <w:highlight w:val="none"/>
                <w:lang w:val="en-US" w:eastAsia="zh-CN"/>
              </w:rPr>
              <w:t>污水处理厂进水标准</w:t>
            </w:r>
          </w:p>
        </w:tc>
        <w:tc>
          <w:tcPr>
            <w:tcW w:w="78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处置措施</w:t>
            </w:r>
          </w:p>
        </w:tc>
        <w:tc>
          <w:tcPr>
            <w:tcW w:w="893"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57" w:type="dxa"/>
            <w:left w:w="57" w:type="dxa"/>
            <w:bottom w:w="57" w:type="dxa"/>
            <w:right w:w="57" w:type="dxa"/>
          </w:tblCellMar>
        </w:tblPrEx>
        <w:trPr>
          <w:cantSplit/>
          <w:trHeight w:val="443" w:hRule="atLeast"/>
          <w:jc w:val="center"/>
        </w:trPr>
        <w:tc>
          <w:tcPr>
            <w:tcW w:w="1210" w:type="dxa"/>
            <w:vMerge w:val="restart"/>
            <w:noWrap w:val="0"/>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消毒清洗废水、蒸汽发生器排水、电锅炉排污水</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软水装置排污水</w:t>
            </w:r>
            <w:r>
              <w:rPr>
                <w:rFonts w:hint="default" w:ascii="Times New Roman" w:hAnsi="Times New Roman" w:cs="Times New Roman"/>
                <w:color w:val="auto"/>
                <w:sz w:val="21"/>
                <w:szCs w:val="21"/>
                <w:lang w:val="en-US" w:eastAsia="zh-CN"/>
              </w:rPr>
              <w:t>1223.225</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/a</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供暖季废水共</w:t>
            </w:r>
            <w:r>
              <w:rPr>
                <w:rFonts w:hint="default" w:ascii="Times New Roman" w:hAnsi="Times New Roman" w:cs="Times New Roman"/>
                <w:color w:val="auto"/>
                <w:sz w:val="21"/>
                <w:szCs w:val="21"/>
                <w:lang w:val="en-US" w:eastAsia="zh-CN"/>
              </w:rPr>
              <w:t>627.44</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lang w:val="en-US" w:eastAsia="zh-CN"/>
              </w:rPr>
              <w:t>；非供暖季废水共</w:t>
            </w:r>
            <w:r>
              <w:rPr>
                <w:rFonts w:hint="default" w:ascii="Times New Roman" w:hAnsi="Times New Roman" w:cs="Times New Roman"/>
                <w:color w:val="auto"/>
                <w:sz w:val="21"/>
                <w:szCs w:val="21"/>
                <w:lang w:val="en-US" w:eastAsia="zh-CN"/>
              </w:rPr>
              <w:t>595.785</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lang w:eastAsia="zh-CN"/>
              </w:rPr>
              <w:t>）</w:t>
            </w:r>
          </w:p>
        </w:tc>
        <w:tc>
          <w:tcPr>
            <w:tcW w:w="593"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总余氯 </w:t>
            </w:r>
          </w:p>
        </w:tc>
        <w:tc>
          <w:tcPr>
            <w:tcW w:w="655"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0.9</w:t>
            </w:r>
          </w:p>
        </w:tc>
        <w:tc>
          <w:tcPr>
            <w:tcW w:w="97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5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0.45</w:t>
            </w:r>
          </w:p>
        </w:tc>
        <w:tc>
          <w:tcPr>
            <w:tcW w:w="65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0.00028</w:t>
            </w:r>
          </w:p>
        </w:tc>
        <w:tc>
          <w:tcPr>
            <w:tcW w:w="110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0.5</w:t>
            </w:r>
          </w:p>
        </w:tc>
        <w:tc>
          <w:tcPr>
            <w:tcW w:w="450"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0.2-2.5</w:t>
            </w:r>
          </w:p>
        </w:tc>
        <w:tc>
          <w:tcPr>
            <w:tcW w:w="450" w:type="dxa"/>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785"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消毒清洗废水、蒸汽发生器排水、电锅炉排污水、初期雨水经污水处理设施处理，污水处理设施处理能力为</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t/d，采用</w:t>
            </w:r>
            <w:r>
              <w:rPr>
                <w:rFonts w:hint="default" w:ascii="Times New Roman" w:hAnsi="Times New Roman" w:cs="Times New Roman"/>
                <w:color w:val="auto"/>
                <w:szCs w:val="21"/>
                <w:lang w:eastAsia="zh-CN"/>
              </w:rPr>
              <w:t>“</w:t>
            </w:r>
            <w:r>
              <w:rPr>
                <w:rFonts w:hint="default" w:ascii="Times New Roman" w:hAnsi="Times New Roman" w:cs="Times New Roman"/>
                <w:color w:val="auto"/>
                <w:sz w:val="21"/>
                <w:szCs w:val="21"/>
                <w:lang w:val="en-US" w:eastAsia="zh-CN"/>
              </w:rPr>
              <w:t>格栅+</w:t>
            </w:r>
            <w:r>
              <w:rPr>
                <w:rFonts w:hint="default" w:ascii="Times New Roman" w:hAnsi="Times New Roman" w:cs="Times New Roman"/>
                <w:color w:val="auto"/>
                <w:sz w:val="21"/>
                <w:szCs w:val="21"/>
              </w:rPr>
              <w:t>调节池+</w:t>
            </w:r>
            <w:r>
              <w:rPr>
                <w:rFonts w:hint="default" w:ascii="Times New Roman" w:hAnsi="Times New Roman" w:cs="Times New Roman"/>
                <w:sz w:val="21"/>
                <w:szCs w:val="21"/>
                <w:lang w:val="en-US" w:eastAsia="zh-CN"/>
              </w:rPr>
              <w:t>A</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0+</w:t>
            </w:r>
            <w:r>
              <w:rPr>
                <w:rFonts w:hint="default" w:ascii="Times New Roman" w:hAnsi="Times New Roman" w:cs="Times New Roman"/>
                <w:color w:val="auto"/>
                <w:sz w:val="21"/>
                <w:szCs w:val="21"/>
              </w:rPr>
              <w:t>MBR 膜生物反应+消毒</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处理工艺</w:t>
            </w:r>
          </w:p>
        </w:tc>
        <w:tc>
          <w:tcPr>
            <w:tcW w:w="893" w:type="dxa"/>
            <w:vMerge w:val="restart"/>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供暖季废水（</w:t>
            </w:r>
            <w:r>
              <w:rPr>
                <w:rFonts w:hint="default" w:ascii="Times New Roman" w:hAnsi="Times New Roman" w:cs="Times New Roman"/>
                <w:color w:val="auto"/>
                <w:sz w:val="21"/>
                <w:szCs w:val="21"/>
                <w:lang w:val="en-US" w:eastAsia="zh-CN"/>
              </w:rPr>
              <w:t>627.44</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000000"/>
                <w:szCs w:val="21"/>
                <w:lang w:val="en-US" w:eastAsia="zh-CN"/>
              </w:rPr>
              <w:t>）由罐车拉运至</w:t>
            </w:r>
            <w:r>
              <w:rPr>
                <w:rFonts w:hint="eastAsia" w:ascii="Times New Roman" w:hAnsi="Times New Roman" w:cs="Times New Roman"/>
                <w:color w:val="000000"/>
                <w:szCs w:val="21"/>
                <w:lang w:val="en-US" w:eastAsia="zh-CN"/>
              </w:rPr>
              <w:t>突泉县突泉镇清源污水处理厂</w:t>
            </w:r>
            <w:r>
              <w:rPr>
                <w:rFonts w:hint="default" w:ascii="Times New Roman" w:hAnsi="Times New Roman" w:cs="Times New Roman"/>
                <w:color w:val="000000"/>
                <w:szCs w:val="21"/>
                <w:lang w:val="en-US" w:eastAsia="zh-CN"/>
              </w:rPr>
              <w:t>进一步处理，非供暖季废水（</w:t>
            </w:r>
            <w:r>
              <w:rPr>
                <w:rFonts w:hint="default" w:ascii="Times New Roman" w:hAnsi="Times New Roman" w:cs="Times New Roman"/>
                <w:color w:val="auto"/>
                <w:sz w:val="21"/>
                <w:szCs w:val="21"/>
                <w:lang w:val="en-US" w:eastAsia="zh-CN"/>
              </w:rPr>
              <w:t>595.785</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000000"/>
                <w:szCs w:val="21"/>
                <w:lang w:val="en-US" w:eastAsia="zh-CN"/>
              </w:rPr>
              <w:t>）回用厂区绿化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57" w:type="dxa"/>
            <w:left w:w="57" w:type="dxa"/>
            <w:bottom w:w="57" w:type="dxa"/>
            <w:right w:w="57" w:type="dxa"/>
          </w:tblCellMar>
        </w:tblPrEx>
        <w:trPr>
          <w:cantSplit/>
          <w:trHeight w:val="1341" w:hRule="atLeast"/>
          <w:jc w:val="center"/>
        </w:trPr>
        <w:tc>
          <w:tcPr>
            <w:tcW w:w="1210" w:type="dxa"/>
            <w:vMerge w:val="continue"/>
            <w:noWrap w:val="0"/>
            <w:vAlign w:val="center"/>
          </w:tcPr>
          <w:p>
            <w:pPr>
              <w:jc w:val="center"/>
              <w:rPr>
                <w:rFonts w:hint="default" w:ascii="Times New Roman" w:hAnsi="Times New Roman" w:cs="Times New Roman"/>
                <w:color w:val="auto"/>
                <w:szCs w:val="21"/>
              </w:rPr>
            </w:pPr>
          </w:p>
        </w:tc>
        <w:tc>
          <w:tcPr>
            <w:tcW w:w="59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粪大肠菌群/</w:t>
            </w:r>
            <w:r>
              <w:rPr>
                <w:rFonts w:hint="default" w:ascii="Times New Roman" w:hAnsi="Times New Roman" w:cs="Times New Roman"/>
                <w:color w:val="auto"/>
              </w:rPr>
              <w:t>大肠埃希氏菌</w:t>
            </w:r>
          </w:p>
        </w:tc>
        <w:tc>
          <w:tcPr>
            <w:tcW w:w="65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84000个/L</w:t>
            </w:r>
          </w:p>
        </w:tc>
        <w:tc>
          <w:tcPr>
            <w:tcW w:w="971"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1.03</w:t>
            </w:r>
            <w:r>
              <w:rPr>
                <w:rFonts w:hint="default" w:ascii="Times New Roman" w:hAnsi="Times New Roman" w:cs="Times New Roman"/>
                <w:color w:val="auto"/>
                <w:szCs w:val="21"/>
              </w:rPr>
              <w:t>×10</w:t>
            </w:r>
            <w:r>
              <w:rPr>
                <w:rFonts w:hint="default" w:ascii="Times New Roman" w:hAnsi="Times New Roman" w:cs="Times New Roman"/>
                <w:color w:val="auto"/>
                <w:szCs w:val="21"/>
                <w:vertAlign w:val="superscript"/>
              </w:rPr>
              <w:t>11</w:t>
            </w:r>
            <w:r>
              <w:rPr>
                <w:rFonts w:hint="default" w:ascii="Times New Roman" w:hAnsi="Times New Roman" w:cs="Times New Roman"/>
                <w:color w:val="auto"/>
                <w:szCs w:val="21"/>
              </w:rPr>
              <w:t>个</w:t>
            </w:r>
          </w:p>
        </w:tc>
        <w:tc>
          <w:tcPr>
            <w:tcW w:w="65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未检出</w:t>
            </w:r>
          </w:p>
        </w:tc>
        <w:tc>
          <w:tcPr>
            <w:tcW w:w="65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10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500MPN/L</w:t>
            </w:r>
          </w:p>
        </w:tc>
        <w:tc>
          <w:tcPr>
            <w:tcW w:w="45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未检出</w:t>
            </w:r>
          </w:p>
        </w:tc>
        <w:tc>
          <w:tcPr>
            <w:tcW w:w="450" w:type="dxa"/>
            <w:noWrap w:val="0"/>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lang w:val="en-US" w:eastAsia="zh-CN"/>
              </w:rPr>
              <w:t>/</w:t>
            </w:r>
          </w:p>
        </w:tc>
        <w:tc>
          <w:tcPr>
            <w:tcW w:w="785" w:type="dxa"/>
            <w:vMerge w:val="continue"/>
            <w:noWrap w:val="0"/>
            <w:vAlign w:val="center"/>
          </w:tcPr>
          <w:p>
            <w:pPr>
              <w:pStyle w:val="38"/>
              <w:keepNext w:val="0"/>
              <w:snapToGrid w:val="0"/>
              <w:spacing w:line="240" w:lineRule="auto"/>
              <w:ind w:left="0" w:leftChars="0" w:rightChars="0"/>
              <w:rPr>
                <w:rFonts w:hint="default" w:ascii="Times New Roman" w:hAnsi="Times New Roman" w:cs="Times New Roman"/>
                <w:color w:val="auto"/>
                <w:kern w:val="2"/>
                <w:sz w:val="21"/>
                <w:szCs w:val="21"/>
              </w:rPr>
            </w:pPr>
          </w:p>
        </w:tc>
        <w:tc>
          <w:tcPr>
            <w:tcW w:w="893" w:type="dxa"/>
            <w:vMerge w:val="continue"/>
            <w:noWrap w:val="0"/>
            <w:vAlign w:val="center"/>
          </w:tcPr>
          <w:p>
            <w:pPr>
              <w:pStyle w:val="38"/>
              <w:keepNext w:val="0"/>
              <w:snapToGrid w:val="0"/>
              <w:spacing w:line="240" w:lineRule="auto"/>
              <w:ind w:left="0" w:leftChars="0" w:rightChars="0"/>
              <w:rPr>
                <w:rFonts w:hint="default" w:ascii="Times New Roman" w:hAnsi="Times New Roman" w:cs="Times New Roman"/>
                <w:color w:val="000000"/>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57" w:type="dxa"/>
            <w:left w:w="57" w:type="dxa"/>
            <w:bottom w:w="57" w:type="dxa"/>
            <w:right w:w="57" w:type="dxa"/>
          </w:tblCellMar>
        </w:tblPrEx>
        <w:trPr>
          <w:cantSplit/>
          <w:trHeight w:val="90" w:hRule="atLeast"/>
          <w:jc w:val="center"/>
        </w:trPr>
        <w:tc>
          <w:tcPr>
            <w:tcW w:w="1210" w:type="dxa"/>
            <w:vMerge w:val="continue"/>
            <w:noWrap w:val="0"/>
            <w:vAlign w:val="center"/>
          </w:tcPr>
          <w:p>
            <w:pPr>
              <w:jc w:val="center"/>
              <w:rPr>
                <w:rFonts w:hint="default" w:ascii="Times New Roman" w:hAnsi="Times New Roman" w:cs="Times New Roman"/>
                <w:color w:val="auto"/>
                <w:szCs w:val="21"/>
              </w:rPr>
            </w:pPr>
          </w:p>
        </w:tc>
        <w:tc>
          <w:tcPr>
            <w:tcW w:w="59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65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445</w:t>
            </w:r>
          </w:p>
        </w:tc>
        <w:tc>
          <w:tcPr>
            <w:tcW w:w="971"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0.54</w:t>
            </w:r>
          </w:p>
        </w:tc>
        <w:tc>
          <w:tcPr>
            <w:tcW w:w="65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4</w:t>
            </w:r>
            <w:r>
              <w:rPr>
                <w:rFonts w:hint="default" w:ascii="Times New Roman" w:hAnsi="Times New Roman" w:cs="Times New Roman"/>
                <w:color w:val="auto"/>
                <w:szCs w:val="21"/>
                <w:lang w:val="en-US" w:eastAsia="zh-CN"/>
              </w:rPr>
              <w:t>8</w:t>
            </w:r>
          </w:p>
        </w:tc>
        <w:tc>
          <w:tcPr>
            <w:tcW w:w="65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0.03</w:t>
            </w:r>
          </w:p>
        </w:tc>
        <w:tc>
          <w:tcPr>
            <w:tcW w:w="110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45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450" w:type="dxa"/>
            <w:noWrap w:val="0"/>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450</w:t>
            </w:r>
          </w:p>
        </w:tc>
        <w:tc>
          <w:tcPr>
            <w:tcW w:w="785" w:type="dxa"/>
            <w:vMerge w:val="continue"/>
            <w:noWrap w:val="0"/>
            <w:vAlign w:val="center"/>
          </w:tcPr>
          <w:p>
            <w:pPr>
              <w:pStyle w:val="38"/>
              <w:keepNext w:val="0"/>
              <w:snapToGrid w:val="0"/>
              <w:spacing w:line="240" w:lineRule="auto"/>
              <w:ind w:left="0" w:leftChars="0" w:rightChars="0"/>
              <w:textAlignment w:val="center"/>
              <w:rPr>
                <w:rFonts w:hint="default" w:ascii="Times New Roman" w:hAnsi="Times New Roman" w:cs="Times New Roman"/>
                <w:color w:val="auto"/>
                <w:kern w:val="2"/>
                <w:sz w:val="21"/>
                <w:szCs w:val="21"/>
              </w:rPr>
            </w:pPr>
          </w:p>
        </w:tc>
        <w:tc>
          <w:tcPr>
            <w:tcW w:w="893" w:type="dxa"/>
            <w:vMerge w:val="continue"/>
            <w:noWrap w:val="0"/>
            <w:vAlign w:val="center"/>
          </w:tcPr>
          <w:p>
            <w:pPr>
              <w:pStyle w:val="38"/>
              <w:keepNext w:val="0"/>
              <w:snapToGrid w:val="0"/>
              <w:spacing w:line="240" w:lineRule="auto"/>
              <w:ind w:left="0" w:leftChars="0" w:rightChars="0"/>
              <w:textAlignment w:val="center"/>
              <w:rPr>
                <w:rFonts w:hint="default" w:ascii="Times New Roman" w:hAnsi="Times New Roman" w:cs="Times New Roman"/>
                <w:color w:val="000000"/>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57" w:type="dxa"/>
            <w:left w:w="57" w:type="dxa"/>
            <w:bottom w:w="57" w:type="dxa"/>
            <w:right w:w="57" w:type="dxa"/>
          </w:tblCellMar>
        </w:tblPrEx>
        <w:trPr>
          <w:cantSplit/>
          <w:trHeight w:val="90" w:hRule="atLeast"/>
          <w:jc w:val="center"/>
        </w:trPr>
        <w:tc>
          <w:tcPr>
            <w:tcW w:w="1210" w:type="dxa"/>
            <w:vMerge w:val="continue"/>
            <w:noWrap w:val="0"/>
            <w:vAlign w:val="center"/>
          </w:tcPr>
          <w:p>
            <w:pPr>
              <w:jc w:val="center"/>
              <w:rPr>
                <w:rFonts w:hint="default" w:ascii="Times New Roman" w:hAnsi="Times New Roman" w:cs="Times New Roman"/>
                <w:color w:val="auto"/>
                <w:szCs w:val="21"/>
              </w:rPr>
            </w:pPr>
          </w:p>
        </w:tc>
        <w:tc>
          <w:tcPr>
            <w:tcW w:w="59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65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153</w:t>
            </w:r>
          </w:p>
        </w:tc>
        <w:tc>
          <w:tcPr>
            <w:tcW w:w="971"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0.19</w:t>
            </w:r>
          </w:p>
        </w:tc>
        <w:tc>
          <w:tcPr>
            <w:tcW w:w="65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65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0.005</w:t>
            </w:r>
          </w:p>
        </w:tc>
        <w:tc>
          <w:tcPr>
            <w:tcW w:w="110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45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50" w:type="dxa"/>
            <w:noWrap w:val="0"/>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200</w:t>
            </w:r>
          </w:p>
        </w:tc>
        <w:tc>
          <w:tcPr>
            <w:tcW w:w="785" w:type="dxa"/>
            <w:vMerge w:val="continue"/>
            <w:noWrap w:val="0"/>
            <w:vAlign w:val="center"/>
          </w:tcPr>
          <w:p>
            <w:pPr>
              <w:pStyle w:val="38"/>
              <w:keepNext w:val="0"/>
              <w:snapToGrid w:val="0"/>
              <w:spacing w:line="240" w:lineRule="auto"/>
              <w:ind w:left="0" w:leftChars="0" w:rightChars="0"/>
              <w:textAlignment w:val="center"/>
              <w:rPr>
                <w:rFonts w:hint="default" w:ascii="Times New Roman" w:hAnsi="Times New Roman" w:cs="Times New Roman"/>
                <w:color w:val="auto"/>
                <w:kern w:val="2"/>
                <w:sz w:val="21"/>
                <w:szCs w:val="21"/>
              </w:rPr>
            </w:pPr>
          </w:p>
        </w:tc>
        <w:tc>
          <w:tcPr>
            <w:tcW w:w="893" w:type="dxa"/>
            <w:vMerge w:val="continue"/>
            <w:noWrap w:val="0"/>
            <w:vAlign w:val="center"/>
          </w:tcPr>
          <w:p>
            <w:pPr>
              <w:pStyle w:val="38"/>
              <w:keepNext w:val="0"/>
              <w:snapToGrid w:val="0"/>
              <w:spacing w:line="240" w:lineRule="auto"/>
              <w:ind w:left="0" w:leftChars="0" w:rightChars="0"/>
              <w:textAlignment w:val="center"/>
              <w:rPr>
                <w:rFonts w:hint="default" w:ascii="Times New Roman" w:hAnsi="Times New Roman" w:cs="Times New Roman"/>
                <w:color w:val="000000"/>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PrEx>
        <w:trPr>
          <w:cantSplit/>
          <w:trHeight w:val="90" w:hRule="atLeast"/>
          <w:jc w:val="center"/>
        </w:trPr>
        <w:tc>
          <w:tcPr>
            <w:tcW w:w="1210" w:type="dxa"/>
            <w:vMerge w:val="continue"/>
            <w:noWrap w:val="0"/>
            <w:vAlign w:val="center"/>
          </w:tcPr>
          <w:p>
            <w:pPr>
              <w:jc w:val="center"/>
              <w:rPr>
                <w:rFonts w:hint="default" w:ascii="Times New Roman" w:hAnsi="Times New Roman" w:cs="Times New Roman"/>
                <w:color w:val="auto"/>
                <w:szCs w:val="21"/>
              </w:rPr>
            </w:pPr>
          </w:p>
        </w:tc>
        <w:tc>
          <w:tcPr>
            <w:tcW w:w="59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65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971"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0.24</w:t>
            </w:r>
          </w:p>
        </w:tc>
        <w:tc>
          <w:tcPr>
            <w:tcW w:w="65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15</w:t>
            </w:r>
          </w:p>
        </w:tc>
        <w:tc>
          <w:tcPr>
            <w:tcW w:w="65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0.009</w:t>
            </w:r>
          </w:p>
        </w:tc>
        <w:tc>
          <w:tcPr>
            <w:tcW w:w="110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45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450" w:type="dxa"/>
            <w:noWrap w:val="0"/>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200</w:t>
            </w:r>
          </w:p>
        </w:tc>
        <w:tc>
          <w:tcPr>
            <w:tcW w:w="785" w:type="dxa"/>
            <w:vMerge w:val="continue"/>
            <w:noWrap w:val="0"/>
            <w:vAlign w:val="center"/>
          </w:tcPr>
          <w:p>
            <w:pPr>
              <w:pStyle w:val="38"/>
              <w:keepNext w:val="0"/>
              <w:snapToGrid w:val="0"/>
              <w:spacing w:line="240" w:lineRule="auto"/>
              <w:ind w:left="0" w:leftChars="0" w:rightChars="0"/>
              <w:textAlignment w:val="center"/>
              <w:rPr>
                <w:rFonts w:hint="default" w:ascii="Times New Roman" w:hAnsi="Times New Roman" w:cs="Times New Roman"/>
                <w:color w:val="auto"/>
                <w:kern w:val="2"/>
                <w:sz w:val="21"/>
                <w:szCs w:val="21"/>
              </w:rPr>
            </w:pPr>
          </w:p>
        </w:tc>
        <w:tc>
          <w:tcPr>
            <w:tcW w:w="893" w:type="dxa"/>
            <w:vMerge w:val="continue"/>
            <w:noWrap w:val="0"/>
            <w:vAlign w:val="center"/>
          </w:tcPr>
          <w:p>
            <w:pPr>
              <w:pStyle w:val="38"/>
              <w:keepNext w:val="0"/>
              <w:snapToGrid w:val="0"/>
              <w:spacing w:line="240" w:lineRule="auto"/>
              <w:ind w:left="0" w:leftChars="0" w:rightChars="0"/>
              <w:textAlignment w:val="center"/>
              <w:rPr>
                <w:rFonts w:hint="default" w:ascii="Times New Roman" w:hAnsi="Times New Roman" w:cs="Times New Roman"/>
                <w:color w:val="000000"/>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57" w:type="dxa"/>
            <w:left w:w="57" w:type="dxa"/>
            <w:bottom w:w="57" w:type="dxa"/>
            <w:right w:w="57" w:type="dxa"/>
          </w:tblCellMar>
        </w:tblPrEx>
        <w:trPr>
          <w:cantSplit/>
          <w:trHeight w:val="90" w:hRule="atLeast"/>
          <w:jc w:val="center"/>
        </w:trPr>
        <w:tc>
          <w:tcPr>
            <w:tcW w:w="1210" w:type="dxa"/>
            <w:vMerge w:val="continue"/>
            <w:noWrap w:val="0"/>
            <w:vAlign w:val="center"/>
          </w:tcPr>
          <w:p>
            <w:pPr>
              <w:jc w:val="center"/>
              <w:rPr>
                <w:rFonts w:hint="default" w:ascii="Times New Roman" w:hAnsi="Times New Roman" w:cs="Times New Roman"/>
                <w:color w:val="auto"/>
                <w:szCs w:val="21"/>
              </w:rPr>
            </w:pPr>
          </w:p>
        </w:tc>
        <w:tc>
          <w:tcPr>
            <w:tcW w:w="59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655"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17.5</w:t>
            </w:r>
          </w:p>
        </w:tc>
        <w:tc>
          <w:tcPr>
            <w:tcW w:w="971"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0.018</w:t>
            </w:r>
          </w:p>
        </w:tc>
        <w:tc>
          <w:tcPr>
            <w:tcW w:w="655"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0.5</w:t>
            </w:r>
          </w:p>
        </w:tc>
        <w:tc>
          <w:tcPr>
            <w:tcW w:w="65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w:t>
            </w:r>
            <w:r>
              <w:rPr>
                <w:rFonts w:hint="eastAsia" w:ascii="Times New Roman" w:hAnsi="Times New Roman" w:cs="Times New Roman"/>
                <w:color w:val="auto"/>
                <w:szCs w:val="21"/>
                <w:lang w:val="en-US" w:eastAsia="zh-CN"/>
              </w:rPr>
              <w:t>0</w:t>
            </w:r>
            <w:r>
              <w:rPr>
                <w:rFonts w:hint="default" w:ascii="Times New Roman" w:hAnsi="Times New Roman" w:cs="Times New Roman"/>
                <w:color w:val="auto"/>
                <w:szCs w:val="21"/>
                <w:lang w:val="en-US" w:eastAsia="zh-CN"/>
              </w:rPr>
              <w:t>03</w:t>
            </w:r>
          </w:p>
        </w:tc>
        <w:tc>
          <w:tcPr>
            <w:tcW w:w="110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450" w:type="dxa"/>
            <w:noWrap w:val="0"/>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8</w:t>
            </w:r>
          </w:p>
        </w:tc>
        <w:tc>
          <w:tcPr>
            <w:tcW w:w="450" w:type="dxa"/>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50</w:t>
            </w:r>
          </w:p>
        </w:tc>
        <w:tc>
          <w:tcPr>
            <w:tcW w:w="785" w:type="dxa"/>
            <w:vMerge w:val="continue"/>
            <w:noWrap w:val="0"/>
            <w:vAlign w:val="center"/>
          </w:tcPr>
          <w:p>
            <w:pPr>
              <w:jc w:val="center"/>
              <w:rPr>
                <w:rFonts w:hint="default" w:ascii="Times New Roman" w:hAnsi="Times New Roman" w:cs="Times New Roman"/>
                <w:color w:val="auto"/>
                <w:szCs w:val="21"/>
              </w:rPr>
            </w:pPr>
          </w:p>
        </w:tc>
        <w:tc>
          <w:tcPr>
            <w:tcW w:w="893" w:type="dxa"/>
            <w:vMerge w:val="continue"/>
            <w:noWrap w:val="0"/>
            <w:vAlign w:val="center"/>
          </w:tcPr>
          <w:p>
            <w:pPr>
              <w:pStyle w:val="38"/>
              <w:keepNext w:val="0"/>
              <w:snapToGrid w:val="0"/>
              <w:spacing w:line="240" w:lineRule="auto"/>
              <w:ind w:left="0" w:leftChars="0" w:rightChars="0"/>
              <w:textAlignment w:val="center"/>
              <w:rPr>
                <w:rFonts w:hint="default" w:ascii="Times New Roman" w:hAnsi="Times New Roman" w:cs="Times New Roman"/>
                <w:color w:val="000000"/>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57" w:type="dxa"/>
            <w:left w:w="57" w:type="dxa"/>
            <w:bottom w:w="57" w:type="dxa"/>
            <w:right w:w="57" w:type="dxa"/>
          </w:tblCellMar>
        </w:tblPrEx>
        <w:trPr>
          <w:cantSplit/>
          <w:trHeight w:val="90" w:hRule="atLeast"/>
          <w:jc w:val="center"/>
        </w:trPr>
        <w:tc>
          <w:tcPr>
            <w:tcW w:w="1210" w:type="dxa"/>
            <w:vMerge w:val="continue"/>
            <w:noWrap w:val="0"/>
            <w:vAlign w:val="center"/>
          </w:tcPr>
          <w:p>
            <w:pPr>
              <w:jc w:val="center"/>
              <w:rPr>
                <w:rFonts w:hint="default" w:ascii="Times New Roman" w:hAnsi="Times New Roman" w:cs="Times New Roman"/>
                <w:color w:val="auto"/>
                <w:szCs w:val="21"/>
              </w:rPr>
            </w:pPr>
          </w:p>
        </w:tc>
        <w:tc>
          <w:tcPr>
            <w:tcW w:w="59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65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7.25</w:t>
            </w:r>
          </w:p>
        </w:tc>
        <w:tc>
          <w:tcPr>
            <w:tcW w:w="971"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5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7.2</w:t>
            </w:r>
            <w:r>
              <w:rPr>
                <w:rFonts w:hint="default" w:ascii="Times New Roman" w:hAnsi="Times New Roman" w:cs="Times New Roman"/>
                <w:color w:val="auto"/>
                <w:szCs w:val="21"/>
                <w:lang w:val="en-US" w:eastAsia="zh-CN"/>
              </w:rPr>
              <w:t>2</w:t>
            </w:r>
          </w:p>
        </w:tc>
        <w:tc>
          <w:tcPr>
            <w:tcW w:w="655" w:type="dxa"/>
            <w:noWrap w:val="0"/>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w:t>
            </w:r>
          </w:p>
        </w:tc>
        <w:tc>
          <w:tcPr>
            <w:tcW w:w="110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c>
          <w:tcPr>
            <w:tcW w:w="45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6.0-9.0</w:t>
            </w:r>
          </w:p>
        </w:tc>
        <w:tc>
          <w:tcPr>
            <w:tcW w:w="450" w:type="dxa"/>
            <w:noWrap w:val="0"/>
            <w:vAlign w:val="center"/>
          </w:tcPr>
          <w:p>
            <w:pPr>
              <w:jc w:val="center"/>
              <w:rPr>
                <w:rFonts w:hint="default" w:ascii="Times New Roman" w:hAnsi="Times New Roman" w:cs="Times New Roman"/>
                <w:color w:val="auto"/>
              </w:rPr>
            </w:pPr>
            <w:r>
              <w:rPr>
                <w:rFonts w:hint="eastAsia" w:ascii="Times New Roman" w:hAnsi="Times New Roman" w:cs="Times New Roman"/>
                <w:color w:val="auto"/>
                <w:lang w:val="en-US" w:eastAsia="zh-CN"/>
              </w:rPr>
              <w:t>/</w:t>
            </w:r>
          </w:p>
        </w:tc>
        <w:tc>
          <w:tcPr>
            <w:tcW w:w="785" w:type="dxa"/>
            <w:vMerge w:val="continue"/>
            <w:noWrap w:val="0"/>
            <w:vAlign w:val="center"/>
          </w:tcPr>
          <w:p>
            <w:pPr>
              <w:jc w:val="center"/>
              <w:rPr>
                <w:rFonts w:hint="default" w:ascii="Times New Roman" w:hAnsi="Times New Roman" w:cs="Times New Roman"/>
                <w:color w:val="auto"/>
                <w:szCs w:val="21"/>
              </w:rPr>
            </w:pPr>
          </w:p>
        </w:tc>
        <w:tc>
          <w:tcPr>
            <w:tcW w:w="893" w:type="dxa"/>
            <w:vMerge w:val="continue"/>
            <w:noWrap w:val="0"/>
            <w:vAlign w:val="center"/>
          </w:tcPr>
          <w:p>
            <w:pPr>
              <w:pStyle w:val="38"/>
              <w:keepNext w:val="0"/>
              <w:snapToGrid w:val="0"/>
              <w:spacing w:line="240" w:lineRule="auto"/>
              <w:ind w:left="0" w:leftChars="0" w:rightChars="0"/>
              <w:textAlignment w:val="center"/>
              <w:rPr>
                <w:rFonts w:hint="default" w:ascii="Times New Roman" w:hAnsi="Times New Roman" w:cs="Times New Roman"/>
                <w:color w:val="000000"/>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57" w:type="dxa"/>
            <w:left w:w="57" w:type="dxa"/>
            <w:bottom w:w="57" w:type="dxa"/>
            <w:right w:w="57" w:type="dxa"/>
          </w:tblCellMar>
        </w:tblPrEx>
        <w:trPr>
          <w:cantSplit/>
          <w:trHeight w:val="757" w:hRule="atLeast"/>
          <w:jc w:val="center"/>
        </w:trPr>
        <w:tc>
          <w:tcPr>
            <w:tcW w:w="1210"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初期雨水</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1.285</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593" w:type="dxa"/>
            <w:noWrap w:val="0"/>
            <w:vAlign w:val="center"/>
          </w:tcPr>
          <w:p>
            <w:pPr>
              <w:pStyle w:val="38"/>
              <w:keepNext w:val="0"/>
              <w:adjustRightInd/>
              <w:spacing w:line="240" w:lineRule="auto"/>
              <w:ind w:left="0" w:leftChars="0" w:right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粪大肠菌群</w:t>
            </w:r>
          </w:p>
        </w:tc>
        <w:tc>
          <w:tcPr>
            <w:tcW w:w="65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1000个/L</w:t>
            </w:r>
          </w:p>
        </w:tc>
        <w:tc>
          <w:tcPr>
            <w:tcW w:w="971"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55" w:type="dxa"/>
            <w:noWrap w:val="0"/>
            <w:vAlign w:val="center"/>
          </w:tcPr>
          <w:p>
            <w:pPr>
              <w:pStyle w:val="38"/>
              <w:keepNext w:val="0"/>
              <w:adjustRightInd/>
              <w:spacing w:line="240" w:lineRule="auto"/>
              <w:ind w:left="0" w:leftChars="0" w:right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未检出</w:t>
            </w:r>
          </w:p>
        </w:tc>
        <w:tc>
          <w:tcPr>
            <w:tcW w:w="655" w:type="dxa"/>
            <w:noWrap w:val="0"/>
            <w:vAlign w:val="center"/>
          </w:tcPr>
          <w:p>
            <w:pPr>
              <w:pStyle w:val="38"/>
              <w:keepNext w:val="0"/>
              <w:adjustRightInd/>
              <w:spacing w:line="240" w:lineRule="auto"/>
              <w:ind w:left="0" w:leftChars="0" w:right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w:t>
            </w:r>
          </w:p>
        </w:tc>
        <w:tc>
          <w:tcPr>
            <w:tcW w:w="1103" w:type="dxa"/>
            <w:noWrap w:val="0"/>
            <w:vAlign w:val="center"/>
          </w:tcPr>
          <w:p>
            <w:pPr>
              <w:pStyle w:val="38"/>
              <w:keepNext w:val="0"/>
              <w:adjustRightInd/>
              <w:spacing w:line="240" w:lineRule="auto"/>
              <w:ind w:left="0" w:leftChars="0" w:right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500MPN/L</w:t>
            </w:r>
          </w:p>
        </w:tc>
        <w:tc>
          <w:tcPr>
            <w:tcW w:w="450" w:type="dxa"/>
            <w:noWrap w:val="0"/>
            <w:vAlign w:val="center"/>
          </w:tcPr>
          <w:p>
            <w:pPr>
              <w:pStyle w:val="38"/>
              <w:keepNext w:val="0"/>
              <w:adjustRightInd/>
              <w:spacing w:line="240" w:lineRule="auto"/>
              <w:ind w:left="0" w:leftChars="0" w:right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＜2000个/L</w:t>
            </w:r>
          </w:p>
        </w:tc>
        <w:tc>
          <w:tcPr>
            <w:tcW w:w="450" w:type="dxa"/>
            <w:noWrap w:val="0"/>
            <w:vAlign w:val="center"/>
          </w:tcPr>
          <w:p>
            <w:pPr>
              <w:pStyle w:val="38"/>
              <w:keepNext w:val="0"/>
              <w:adjustRightInd/>
              <w:spacing w:line="240" w:lineRule="auto"/>
              <w:ind w:left="0" w:leftChars="0" w:rightChars="0"/>
              <w:textAlignment w:val="auto"/>
              <w:rPr>
                <w:rFonts w:hint="default" w:ascii="Times New Roman" w:hAnsi="Times New Roman" w:cs="Times New Roman"/>
                <w:color w:val="auto"/>
                <w:kern w:val="2"/>
                <w:sz w:val="21"/>
                <w:szCs w:val="21"/>
              </w:rPr>
            </w:pPr>
            <w:r>
              <w:rPr>
                <w:rFonts w:hint="eastAsia" w:ascii="Times New Roman" w:hAnsi="Times New Roman" w:cs="Times New Roman"/>
                <w:color w:val="auto"/>
                <w:lang w:val="en-US" w:eastAsia="zh-CN"/>
              </w:rPr>
              <w:t>/</w:t>
            </w:r>
          </w:p>
        </w:tc>
        <w:tc>
          <w:tcPr>
            <w:tcW w:w="785" w:type="dxa"/>
            <w:vMerge w:val="continue"/>
            <w:noWrap w:val="0"/>
            <w:vAlign w:val="center"/>
          </w:tcPr>
          <w:p>
            <w:pPr>
              <w:jc w:val="center"/>
              <w:rPr>
                <w:rFonts w:hint="default" w:ascii="Times New Roman" w:hAnsi="Times New Roman" w:cs="Times New Roman"/>
                <w:color w:val="auto"/>
                <w:szCs w:val="21"/>
              </w:rPr>
            </w:pPr>
          </w:p>
        </w:tc>
        <w:tc>
          <w:tcPr>
            <w:tcW w:w="893" w:type="dxa"/>
            <w:vMerge w:val="continue"/>
            <w:noWrap w:val="0"/>
            <w:vAlign w:val="center"/>
          </w:tcPr>
          <w:p>
            <w:pPr>
              <w:pStyle w:val="38"/>
              <w:keepNext w:val="0"/>
              <w:snapToGrid w:val="0"/>
              <w:spacing w:line="240" w:lineRule="auto"/>
              <w:ind w:left="0" w:leftChars="0" w:rightChars="0"/>
              <w:textAlignment w:val="center"/>
              <w:rPr>
                <w:rFonts w:hint="default" w:ascii="Times New Roman" w:hAnsi="Times New Roman" w:cs="Times New Roman"/>
                <w:color w:val="000000"/>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57" w:type="dxa"/>
            <w:left w:w="57" w:type="dxa"/>
            <w:bottom w:w="57" w:type="dxa"/>
            <w:right w:w="57" w:type="dxa"/>
          </w:tblCellMar>
        </w:tblPrEx>
        <w:trPr>
          <w:cantSplit/>
          <w:trHeight w:val="90" w:hRule="atLeast"/>
          <w:jc w:val="center"/>
        </w:trPr>
        <w:tc>
          <w:tcPr>
            <w:tcW w:w="1210" w:type="dxa"/>
            <w:vMerge w:val="continue"/>
            <w:noWrap w:val="0"/>
            <w:vAlign w:val="center"/>
          </w:tcPr>
          <w:p>
            <w:pPr>
              <w:jc w:val="center"/>
              <w:rPr>
                <w:rFonts w:hint="default" w:ascii="Times New Roman" w:hAnsi="Times New Roman" w:cs="Times New Roman"/>
                <w:color w:val="auto"/>
                <w:szCs w:val="21"/>
              </w:rPr>
            </w:pPr>
          </w:p>
        </w:tc>
        <w:tc>
          <w:tcPr>
            <w:tcW w:w="593" w:type="dxa"/>
            <w:noWrap w:val="0"/>
            <w:vAlign w:val="center"/>
          </w:tcPr>
          <w:p>
            <w:pPr>
              <w:pStyle w:val="38"/>
              <w:keepNext w:val="0"/>
              <w:adjustRightInd/>
              <w:spacing w:line="240" w:lineRule="auto"/>
              <w:ind w:left="0" w:leftChars="0" w:right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COD</w:t>
            </w:r>
          </w:p>
        </w:tc>
        <w:tc>
          <w:tcPr>
            <w:tcW w:w="65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88</w:t>
            </w:r>
          </w:p>
        </w:tc>
        <w:tc>
          <w:tcPr>
            <w:tcW w:w="971"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55" w:type="dxa"/>
            <w:noWrap w:val="0"/>
            <w:vAlign w:val="center"/>
          </w:tcPr>
          <w:p>
            <w:pPr>
              <w:pStyle w:val="38"/>
              <w:keepNext w:val="0"/>
              <w:adjustRightInd/>
              <w:spacing w:line="240" w:lineRule="auto"/>
              <w:ind w:left="0" w:leftChars="0" w:right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8.8</w:t>
            </w:r>
          </w:p>
        </w:tc>
        <w:tc>
          <w:tcPr>
            <w:tcW w:w="655" w:type="dxa"/>
            <w:noWrap w:val="0"/>
            <w:vAlign w:val="center"/>
          </w:tcPr>
          <w:p>
            <w:pPr>
              <w:pStyle w:val="38"/>
              <w:keepNext w:val="0"/>
              <w:adjustRightInd/>
              <w:spacing w:line="240" w:lineRule="auto"/>
              <w:ind w:left="0" w:leftChars="0" w:right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w:t>
            </w:r>
          </w:p>
        </w:tc>
        <w:tc>
          <w:tcPr>
            <w:tcW w:w="110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45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450" w:type="dxa"/>
            <w:noWrap w:val="0"/>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450</w:t>
            </w:r>
          </w:p>
        </w:tc>
        <w:tc>
          <w:tcPr>
            <w:tcW w:w="785" w:type="dxa"/>
            <w:vMerge w:val="continue"/>
            <w:noWrap w:val="0"/>
            <w:vAlign w:val="center"/>
          </w:tcPr>
          <w:p>
            <w:pPr>
              <w:jc w:val="center"/>
              <w:rPr>
                <w:rFonts w:hint="default" w:ascii="Times New Roman" w:hAnsi="Times New Roman" w:cs="Times New Roman"/>
                <w:color w:val="auto"/>
                <w:szCs w:val="21"/>
              </w:rPr>
            </w:pPr>
          </w:p>
        </w:tc>
        <w:tc>
          <w:tcPr>
            <w:tcW w:w="893" w:type="dxa"/>
            <w:vMerge w:val="continue"/>
            <w:noWrap w:val="0"/>
            <w:vAlign w:val="center"/>
          </w:tcPr>
          <w:p>
            <w:pPr>
              <w:pStyle w:val="38"/>
              <w:keepNext w:val="0"/>
              <w:snapToGrid w:val="0"/>
              <w:spacing w:line="240" w:lineRule="auto"/>
              <w:ind w:left="0" w:leftChars="0" w:rightChars="0"/>
              <w:textAlignment w:val="center"/>
              <w:rPr>
                <w:rFonts w:hint="default" w:ascii="Times New Roman" w:hAnsi="Times New Roman" w:cs="Times New Roman"/>
                <w:color w:val="000000"/>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57" w:type="dxa"/>
            <w:left w:w="57" w:type="dxa"/>
            <w:bottom w:w="57" w:type="dxa"/>
            <w:right w:w="57" w:type="dxa"/>
          </w:tblCellMar>
        </w:tblPrEx>
        <w:trPr>
          <w:cantSplit/>
          <w:trHeight w:val="90" w:hRule="atLeast"/>
          <w:jc w:val="center"/>
        </w:trPr>
        <w:tc>
          <w:tcPr>
            <w:tcW w:w="1210" w:type="dxa"/>
            <w:vMerge w:val="continue"/>
            <w:noWrap w:val="0"/>
            <w:vAlign w:val="center"/>
          </w:tcPr>
          <w:p>
            <w:pPr>
              <w:jc w:val="center"/>
              <w:rPr>
                <w:rFonts w:hint="default" w:ascii="Times New Roman" w:hAnsi="Times New Roman" w:cs="Times New Roman"/>
                <w:color w:val="auto"/>
                <w:szCs w:val="21"/>
              </w:rPr>
            </w:pPr>
          </w:p>
        </w:tc>
        <w:tc>
          <w:tcPr>
            <w:tcW w:w="593" w:type="dxa"/>
            <w:noWrap w:val="0"/>
            <w:vAlign w:val="center"/>
          </w:tcPr>
          <w:p>
            <w:pPr>
              <w:pStyle w:val="38"/>
              <w:keepNext w:val="0"/>
              <w:adjustRightInd/>
              <w:spacing w:line="240" w:lineRule="auto"/>
              <w:ind w:left="0" w:leftChars="0" w:right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SS</w:t>
            </w:r>
          </w:p>
        </w:tc>
        <w:tc>
          <w:tcPr>
            <w:tcW w:w="65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971"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5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5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10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45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450" w:type="dxa"/>
            <w:noWrap w:val="0"/>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200</w:t>
            </w:r>
          </w:p>
        </w:tc>
        <w:tc>
          <w:tcPr>
            <w:tcW w:w="785" w:type="dxa"/>
            <w:vMerge w:val="continue"/>
            <w:noWrap w:val="0"/>
            <w:vAlign w:val="center"/>
          </w:tcPr>
          <w:p>
            <w:pPr>
              <w:jc w:val="center"/>
              <w:rPr>
                <w:rFonts w:hint="default" w:ascii="Times New Roman" w:hAnsi="Times New Roman" w:cs="Times New Roman"/>
                <w:color w:val="auto"/>
                <w:szCs w:val="21"/>
              </w:rPr>
            </w:pPr>
          </w:p>
        </w:tc>
        <w:tc>
          <w:tcPr>
            <w:tcW w:w="893" w:type="dxa"/>
            <w:vMerge w:val="continue"/>
            <w:noWrap w:val="0"/>
            <w:vAlign w:val="center"/>
          </w:tcPr>
          <w:p>
            <w:pPr>
              <w:pStyle w:val="38"/>
              <w:keepNext w:val="0"/>
              <w:snapToGrid w:val="0"/>
              <w:spacing w:line="240" w:lineRule="auto"/>
              <w:ind w:left="0" w:leftChars="0" w:rightChars="0"/>
              <w:textAlignment w:val="center"/>
              <w:rPr>
                <w:rFonts w:hint="default" w:ascii="Times New Roman" w:hAnsi="Times New Roman" w:cs="Times New Roman"/>
                <w:color w:val="000000"/>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57" w:type="dxa"/>
            <w:left w:w="57" w:type="dxa"/>
            <w:bottom w:w="57" w:type="dxa"/>
            <w:right w:w="57" w:type="dxa"/>
          </w:tblCellMar>
        </w:tblPrEx>
        <w:trPr>
          <w:cantSplit/>
          <w:trHeight w:val="90" w:hRule="atLeast"/>
          <w:jc w:val="center"/>
        </w:trPr>
        <w:tc>
          <w:tcPr>
            <w:tcW w:w="1210"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生活污水</w:t>
            </w:r>
          </w:p>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175.2</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/a</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执行</w:t>
            </w:r>
            <w:r>
              <w:rPr>
                <w:rFonts w:hint="eastAsia" w:ascii="Times New Roman" w:hAnsi="Times New Roman" w:cs="Times New Roman"/>
                <w:color w:val="auto"/>
                <w:szCs w:val="21"/>
                <w:lang w:val="en-US" w:eastAsia="zh-CN"/>
              </w:rPr>
              <w:t>污水处理厂进水标准</w:t>
            </w:r>
            <w:r>
              <w:rPr>
                <w:rFonts w:hint="default" w:ascii="Times New Roman" w:hAnsi="Times New Roman" w:cs="Times New Roman"/>
                <w:color w:val="auto"/>
                <w:szCs w:val="21"/>
                <w:lang w:eastAsia="zh-CN"/>
              </w:rPr>
              <w:t>）</w:t>
            </w:r>
          </w:p>
        </w:tc>
        <w:tc>
          <w:tcPr>
            <w:tcW w:w="59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65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476</w:t>
            </w:r>
          </w:p>
        </w:tc>
        <w:tc>
          <w:tcPr>
            <w:tcW w:w="971"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08</w:t>
            </w:r>
          </w:p>
        </w:tc>
        <w:tc>
          <w:tcPr>
            <w:tcW w:w="655"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415</w:t>
            </w:r>
          </w:p>
        </w:tc>
        <w:tc>
          <w:tcPr>
            <w:tcW w:w="655"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07</w:t>
            </w:r>
          </w:p>
        </w:tc>
        <w:tc>
          <w:tcPr>
            <w:tcW w:w="1103" w:type="dxa"/>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500</w:t>
            </w:r>
          </w:p>
        </w:tc>
        <w:tc>
          <w:tcPr>
            <w:tcW w:w="45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450" w:type="dxa"/>
            <w:noWrap w:val="0"/>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450</w:t>
            </w:r>
          </w:p>
        </w:tc>
        <w:tc>
          <w:tcPr>
            <w:tcW w:w="785" w:type="dxa"/>
            <w:vMerge w:val="restar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生活污水排入处理中心新建防渗化粪池，化粪池处理效率15%</w:t>
            </w:r>
          </w:p>
        </w:tc>
        <w:tc>
          <w:tcPr>
            <w:tcW w:w="893" w:type="dxa"/>
            <w:vMerge w:val="restart"/>
            <w:noWrap w:val="0"/>
            <w:vAlign w:val="center"/>
          </w:tcPr>
          <w:p>
            <w:pPr>
              <w:pStyle w:val="38"/>
              <w:keepNext w:val="0"/>
              <w:adjustRightInd/>
              <w:spacing w:line="240" w:lineRule="auto"/>
              <w:ind w:left="0" w:leftChars="0" w:rightChars="0"/>
              <w:textAlignment w:val="center"/>
              <w:rPr>
                <w:rFonts w:hint="default" w:ascii="Times New Roman" w:hAnsi="Times New Roman" w:eastAsia="宋体"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全部由吸污车清运至</w:t>
            </w:r>
            <w:r>
              <w:rPr>
                <w:rFonts w:hint="eastAsia" w:ascii="Times New Roman" w:hAnsi="Times New Roman" w:cs="Times New Roman"/>
                <w:color w:val="000000"/>
                <w:kern w:val="2"/>
                <w:sz w:val="21"/>
                <w:szCs w:val="21"/>
                <w:lang w:val="en-US" w:eastAsia="zh-CN"/>
              </w:rPr>
              <w:t>突泉县突泉镇清源污水处理厂</w:t>
            </w:r>
            <w:r>
              <w:rPr>
                <w:rFonts w:hint="default" w:ascii="Times New Roman" w:hAnsi="Times New Roman" w:cs="Times New Roman"/>
                <w:color w:val="000000"/>
                <w:kern w:val="2"/>
                <w:sz w:val="21"/>
                <w:szCs w:val="21"/>
                <w:lang w:val="en-US" w:eastAsia="zh-CN"/>
              </w:rPr>
              <w:t>进一步处理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57" w:type="dxa"/>
            <w:left w:w="57" w:type="dxa"/>
            <w:bottom w:w="57" w:type="dxa"/>
            <w:right w:w="57" w:type="dxa"/>
          </w:tblCellMar>
        </w:tblPrEx>
        <w:trPr>
          <w:cantSplit/>
          <w:trHeight w:val="90" w:hRule="atLeast"/>
          <w:jc w:val="center"/>
        </w:trPr>
        <w:tc>
          <w:tcPr>
            <w:tcW w:w="1210" w:type="dxa"/>
            <w:vMerge w:val="continue"/>
            <w:noWrap w:val="0"/>
            <w:vAlign w:val="center"/>
          </w:tcPr>
          <w:p>
            <w:pPr>
              <w:jc w:val="center"/>
              <w:rPr>
                <w:rFonts w:hint="default" w:ascii="Times New Roman" w:hAnsi="Times New Roman" w:cs="Times New Roman"/>
                <w:color w:val="000000"/>
                <w:szCs w:val="21"/>
              </w:rPr>
            </w:pPr>
          </w:p>
        </w:tc>
        <w:tc>
          <w:tcPr>
            <w:tcW w:w="593"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BOD</w:t>
            </w:r>
            <w:r>
              <w:rPr>
                <w:rFonts w:hint="default" w:ascii="Times New Roman" w:hAnsi="Times New Roman" w:cs="Times New Roman"/>
                <w:color w:val="000000"/>
                <w:szCs w:val="21"/>
                <w:vertAlign w:val="subscript"/>
              </w:rPr>
              <w:t>5</w:t>
            </w:r>
          </w:p>
        </w:tc>
        <w:tc>
          <w:tcPr>
            <w:tcW w:w="65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174</w:t>
            </w:r>
          </w:p>
        </w:tc>
        <w:tc>
          <w:tcPr>
            <w:tcW w:w="971" w:type="dxa"/>
            <w:noWrap w:val="0"/>
            <w:vAlign w:val="center"/>
          </w:tcPr>
          <w:p>
            <w:pPr>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3</w:t>
            </w:r>
          </w:p>
        </w:tc>
        <w:tc>
          <w:tcPr>
            <w:tcW w:w="65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148</w:t>
            </w:r>
          </w:p>
        </w:tc>
        <w:tc>
          <w:tcPr>
            <w:tcW w:w="655" w:type="dxa"/>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26</w:t>
            </w:r>
          </w:p>
        </w:tc>
        <w:tc>
          <w:tcPr>
            <w:tcW w:w="1103" w:type="dxa"/>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300</w:t>
            </w:r>
          </w:p>
        </w:tc>
        <w:tc>
          <w:tcPr>
            <w:tcW w:w="45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450" w:type="dxa"/>
            <w:noWrap w:val="0"/>
            <w:vAlign w:val="center"/>
          </w:tcPr>
          <w:p>
            <w:pPr>
              <w:jc w:val="center"/>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200</w:t>
            </w:r>
          </w:p>
        </w:tc>
        <w:tc>
          <w:tcPr>
            <w:tcW w:w="785" w:type="dxa"/>
            <w:vMerge w:val="continue"/>
            <w:noWrap w:val="0"/>
            <w:vAlign w:val="center"/>
          </w:tcPr>
          <w:p>
            <w:pPr>
              <w:jc w:val="center"/>
              <w:rPr>
                <w:rFonts w:hint="default" w:ascii="Times New Roman" w:hAnsi="Times New Roman" w:cs="Times New Roman"/>
                <w:color w:val="000000"/>
                <w:sz w:val="15"/>
                <w:szCs w:val="15"/>
              </w:rPr>
            </w:pPr>
          </w:p>
        </w:tc>
        <w:tc>
          <w:tcPr>
            <w:tcW w:w="893" w:type="dxa"/>
            <w:vMerge w:val="continue"/>
            <w:noWrap w:val="0"/>
            <w:vAlign w:val="center"/>
          </w:tcPr>
          <w:p>
            <w:pPr>
              <w:pStyle w:val="38"/>
              <w:keepNext w:val="0"/>
              <w:snapToGrid w:val="0"/>
              <w:spacing w:line="240" w:lineRule="auto"/>
              <w:ind w:left="0" w:leftChars="0" w:rightChars="0"/>
              <w:textAlignment w:val="center"/>
              <w:rPr>
                <w:rFonts w:hint="default" w:ascii="Times New Roman" w:hAnsi="Times New Roman" w:cs="Times New Roman"/>
                <w:color w:val="000000"/>
                <w:kern w:val="2"/>
                <w:sz w:val="15"/>
                <w:szCs w:val="15"/>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57" w:type="dxa"/>
            <w:left w:w="57" w:type="dxa"/>
            <w:bottom w:w="57" w:type="dxa"/>
            <w:right w:w="57" w:type="dxa"/>
          </w:tblCellMar>
        </w:tblPrEx>
        <w:trPr>
          <w:cantSplit/>
          <w:trHeight w:val="90" w:hRule="atLeast"/>
          <w:jc w:val="center"/>
        </w:trPr>
        <w:tc>
          <w:tcPr>
            <w:tcW w:w="1210" w:type="dxa"/>
            <w:vMerge w:val="continue"/>
            <w:noWrap w:val="0"/>
            <w:vAlign w:val="center"/>
          </w:tcPr>
          <w:p>
            <w:pPr>
              <w:jc w:val="center"/>
              <w:rPr>
                <w:rFonts w:hint="default" w:ascii="Times New Roman" w:hAnsi="Times New Roman" w:cs="Times New Roman"/>
                <w:color w:val="000000"/>
                <w:szCs w:val="21"/>
              </w:rPr>
            </w:pPr>
          </w:p>
        </w:tc>
        <w:tc>
          <w:tcPr>
            <w:tcW w:w="593"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SS</w:t>
            </w:r>
          </w:p>
        </w:tc>
        <w:tc>
          <w:tcPr>
            <w:tcW w:w="65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125</w:t>
            </w:r>
          </w:p>
        </w:tc>
        <w:tc>
          <w:tcPr>
            <w:tcW w:w="971" w:type="dxa"/>
            <w:noWrap w:val="0"/>
            <w:vAlign w:val="center"/>
          </w:tcPr>
          <w:p>
            <w:pPr>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2</w:t>
            </w:r>
          </w:p>
        </w:tc>
        <w:tc>
          <w:tcPr>
            <w:tcW w:w="65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106</w:t>
            </w:r>
          </w:p>
        </w:tc>
        <w:tc>
          <w:tcPr>
            <w:tcW w:w="655" w:type="dxa"/>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19</w:t>
            </w:r>
          </w:p>
        </w:tc>
        <w:tc>
          <w:tcPr>
            <w:tcW w:w="1103" w:type="dxa"/>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400</w:t>
            </w:r>
          </w:p>
        </w:tc>
        <w:tc>
          <w:tcPr>
            <w:tcW w:w="45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450" w:type="dxa"/>
            <w:noWrap w:val="0"/>
            <w:vAlign w:val="center"/>
          </w:tcPr>
          <w:p>
            <w:pPr>
              <w:jc w:val="center"/>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200</w:t>
            </w:r>
          </w:p>
        </w:tc>
        <w:tc>
          <w:tcPr>
            <w:tcW w:w="785" w:type="dxa"/>
            <w:vMerge w:val="continue"/>
            <w:noWrap w:val="0"/>
            <w:vAlign w:val="center"/>
          </w:tcPr>
          <w:p>
            <w:pPr>
              <w:jc w:val="center"/>
              <w:rPr>
                <w:rFonts w:hint="default" w:ascii="Times New Roman" w:hAnsi="Times New Roman" w:cs="Times New Roman"/>
                <w:color w:val="000000"/>
                <w:sz w:val="15"/>
                <w:szCs w:val="15"/>
              </w:rPr>
            </w:pPr>
          </w:p>
        </w:tc>
        <w:tc>
          <w:tcPr>
            <w:tcW w:w="893" w:type="dxa"/>
            <w:vMerge w:val="continue"/>
            <w:noWrap w:val="0"/>
            <w:vAlign w:val="center"/>
          </w:tcPr>
          <w:p>
            <w:pPr>
              <w:pStyle w:val="38"/>
              <w:keepNext w:val="0"/>
              <w:snapToGrid w:val="0"/>
              <w:spacing w:line="240" w:lineRule="auto"/>
              <w:ind w:left="0" w:leftChars="0" w:rightChars="0"/>
              <w:textAlignment w:val="center"/>
              <w:rPr>
                <w:rFonts w:hint="default" w:ascii="Times New Roman" w:hAnsi="Times New Roman" w:cs="Times New Roman"/>
                <w:color w:val="000000"/>
                <w:kern w:val="2"/>
                <w:sz w:val="15"/>
                <w:szCs w:val="15"/>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PrEx>
        <w:trPr>
          <w:cantSplit/>
          <w:trHeight w:val="90" w:hRule="atLeast"/>
          <w:jc w:val="center"/>
        </w:trPr>
        <w:tc>
          <w:tcPr>
            <w:tcW w:w="1210" w:type="dxa"/>
            <w:vMerge w:val="continue"/>
            <w:noWrap w:val="0"/>
            <w:vAlign w:val="center"/>
          </w:tcPr>
          <w:p>
            <w:pPr>
              <w:jc w:val="center"/>
              <w:rPr>
                <w:rFonts w:hint="default" w:ascii="Times New Roman" w:hAnsi="Times New Roman" w:cs="Times New Roman"/>
                <w:color w:val="000000"/>
                <w:szCs w:val="21"/>
              </w:rPr>
            </w:pPr>
          </w:p>
        </w:tc>
        <w:tc>
          <w:tcPr>
            <w:tcW w:w="593"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氨氮</w:t>
            </w:r>
          </w:p>
        </w:tc>
        <w:tc>
          <w:tcPr>
            <w:tcW w:w="65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12.393</w:t>
            </w:r>
          </w:p>
        </w:tc>
        <w:tc>
          <w:tcPr>
            <w:tcW w:w="971" w:type="dxa"/>
            <w:noWrap w:val="0"/>
            <w:vAlign w:val="center"/>
          </w:tcPr>
          <w:p>
            <w:pPr>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rPr>
              <w:t>0.00</w:t>
            </w:r>
            <w:r>
              <w:rPr>
                <w:rFonts w:hint="default" w:ascii="Times New Roman" w:hAnsi="Times New Roman" w:cs="Times New Roman"/>
                <w:color w:val="000000"/>
                <w:szCs w:val="21"/>
                <w:lang w:val="en-US" w:eastAsia="zh-CN"/>
              </w:rPr>
              <w:t>2</w:t>
            </w:r>
          </w:p>
        </w:tc>
        <w:tc>
          <w:tcPr>
            <w:tcW w:w="65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10.534</w:t>
            </w:r>
          </w:p>
        </w:tc>
        <w:tc>
          <w:tcPr>
            <w:tcW w:w="65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0.00</w:t>
            </w:r>
            <w:r>
              <w:rPr>
                <w:rFonts w:hint="default" w:ascii="Times New Roman" w:hAnsi="Times New Roman" w:cs="Times New Roman"/>
                <w:color w:val="000000"/>
                <w:szCs w:val="21"/>
                <w:lang w:val="en-US" w:eastAsia="zh-CN"/>
              </w:rPr>
              <w:t>1</w:t>
            </w:r>
            <w:r>
              <w:rPr>
                <w:rFonts w:hint="default" w:ascii="Times New Roman" w:hAnsi="Times New Roman" w:cs="Times New Roman"/>
                <w:color w:val="000000"/>
                <w:szCs w:val="21"/>
              </w:rPr>
              <w:t>8</w:t>
            </w:r>
          </w:p>
        </w:tc>
        <w:tc>
          <w:tcPr>
            <w:tcW w:w="1103"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45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450" w:type="dxa"/>
            <w:noWrap w:val="0"/>
            <w:vAlign w:val="center"/>
          </w:tcPr>
          <w:p>
            <w:pPr>
              <w:jc w:val="center"/>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50</w:t>
            </w:r>
          </w:p>
        </w:tc>
        <w:tc>
          <w:tcPr>
            <w:tcW w:w="785" w:type="dxa"/>
            <w:vMerge w:val="continue"/>
            <w:noWrap w:val="0"/>
            <w:vAlign w:val="center"/>
          </w:tcPr>
          <w:p>
            <w:pPr>
              <w:jc w:val="center"/>
              <w:rPr>
                <w:rFonts w:hint="default" w:ascii="Times New Roman" w:hAnsi="Times New Roman" w:cs="Times New Roman"/>
                <w:color w:val="000000"/>
                <w:szCs w:val="21"/>
              </w:rPr>
            </w:pPr>
          </w:p>
        </w:tc>
        <w:tc>
          <w:tcPr>
            <w:tcW w:w="893" w:type="dxa"/>
            <w:vMerge w:val="continue"/>
            <w:noWrap w:val="0"/>
            <w:vAlign w:val="center"/>
          </w:tcPr>
          <w:p>
            <w:pPr>
              <w:pStyle w:val="38"/>
              <w:keepNext w:val="0"/>
              <w:snapToGrid w:val="0"/>
              <w:spacing w:line="240" w:lineRule="auto"/>
              <w:ind w:left="0" w:leftChars="0" w:rightChars="0"/>
              <w:textAlignment w:val="center"/>
              <w:rPr>
                <w:rFonts w:hint="default" w:ascii="Times New Roman" w:hAnsi="Times New Roman" w:cs="Times New Roman"/>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57" w:type="dxa"/>
            <w:left w:w="57" w:type="dxa"/>
            <w:bottom w:w="57" w:type="dxa"/>
            <w:right w:w="57" w:type="dxa"/>
          </w:tblCellMar>
        </w:tblPrEx>
        <w:trPr>
          <w:cantSplit/>
          <w:trHeight w:val="90" w:hRule="atLeast"/>
          <w:jc w:val="center"/>
        </w:trPr>
        <w:tc>
          <w:tcPr>
            <w:tcW w:w="1210" w:type="dxa"/>
            <w:vMerge w:val="continue"/>
            <w:noWrap w:val="0"/>
            <w:vAlign w:val="center"/>
          </w:tcPr>
          <w:p>
            <w:pPr>
              <w:jc w:val="center"/>
              <w:rPr>
                <w:rFonts w:hint="default" w:ascii="Times New Roman" w:hAnsi="Times New Roman" w:cs="Times New Roman"/>
                <w:color w:val="000000"/>
                <w:szCs w:val="21"/>
              </w:rPr>
            </w:pPr>
          </w:p>
        </w:tc>
        <w:tc>
          <w:tcPr>
            <w:tcW w:w="593"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pH</w:t>
            </w:r>
          </w:p>
        </w:tc>
        <w:tc>
          <w:tcPr>
            <w:tcW w:w="65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7.8</w:t>
            </w:r>
          </w:p>
        </w:tc>
        <w:tc>
          <w:tcPr>
            <w:tcW w:w="971"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65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7.8</w:t>
            </w:r>
          </w:p>
        </w:tc>
        <w:tc>
          <w:tcPr>
            <w:tcW w:w="65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1103" w:type="dxa"/>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6-9</w:t>
            </w:r>
          </w:p>
        </w:tc>
        <w:tc>
          <w:tcPr>
            <w:tcW w:w="45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450" w:type="dxa"/>
            <w:noWrap w:val="0"/>
            <w:vAlign w:val="center"/>
          </w:tcPr>
          <w:p>
            <w:pPr>
              <w:jc w:val="center"/>
              <w:rPr>
                <w:rFonts w:hint="default" w:ascii="Times New Roman" w:hAnsi="Times New Roman" w:cs="Times New Roman"/>
                <w:color w:val="000000"/>
                <w:szCs w:val="21"/>
              </w:rPr>
            </w:pPr>
            <w:r>
              <w:rPr>
                <w:rFonts w:hint="eastAsia" w:ascii="Times New Roman" w:hAnsi="Times New Roman" w:cs="Times New Roman"/>
                <w:color w:val="auto"/>
                <w:lang w:val="en-US" w:eastAsia="zh-CN"/>
              </w:rPr>
              <w:t>/</w:t>
            </w:r>
          </w:p>
        </w:tc>
        <w:tc>
          <w:tcPr>
            <w:tcW w:w="785" w:type="dxa"/>
            <w:vMerge w:val="continue"/>
            <w:noWrap w:val="0"/>
            <w:vAlign w:val="center"/>
          </w:tcPr>
          <w:p>
            <w:pPr>
              <w:jc w:val="center"/>
              <w:rPr>
                <w:rFonts w:hint="default" w:ascii="Times New Roman" w:hAnsi="Times New Roman" w:cs="Times New Roman"/>
                <w:color w:val="000000"/>
                <w:szCs w:val="21"/>
              </w:rPr>
            </w:pPr>
          </w:p>
        </w:tc>
        <w:tc>
          <w:tcPr>
            <w:tcW w:w="893" w:type="dxa"/>
            <w:vMerge w:val="continue"/>
            <w:noWrap w:val="0"/>
            <w:vAlign w:val="center"/>
          </w:tcPr>
          <w:p>
            <w:pPr>
              <w:pStyle w:val="38"/>
              <w:keepNext w:val="0"/>
              <w:snapToGrid w:val="0"/>
              <w:spacing w:line="240" w:lineRule="auto"/>
              <w:ind w:left="0" w:leftChars="0" w:rightChars="0"/>
              <w:textAlignment w:val="center"/>
              <w:rPr>
                <w:rFonts w:hint="default" w:ascii="Times New Roman" w:hAnsi="Times New Roman" w:cs="Times New Roman"/>
                <w:color w:val="000000"/>
                <w:sz w:val="21"/>
                <w:szCs w:val="21"/>
              </w:rPr>
            </w:pPr>
          </w:p>
        </w:tc>
      </w:tr>
    </w:tbl>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color w:val="auto"/>
          <w:sz w:val="24"/>
        </w:rPr>
        <w:t>根据上表可知，污水处理设施CODcr去除效率为90%、BOD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去除率为94.8%、SS去除率为94%、氨氮去除率为9</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%、粪大肠菌群去除率为</w:t>
      </w:r>
      <w:r>
        <w:rPr>
          <w:rFonts w:hint="default" w:ascii="Times New Roman" w:hAnsi="Times New Roman" w:cs="Times New Roman"/>
          <w:color w:val="000000"/>
          <w:sz w:val="24"/>
        </w:rPr>
        <w:t>99.999%，本项目污水处理设施处理后的废水可《医疗机构水污染物排放标准》(GB18466-2005)表2中排放标准及《城市污水再生利用 城市杂用水水质》(GB/T 18920-2020)中</w:t>
      </w:r>
      <w:r>
        <w:rPr>
          <w:rFonts w:hint="eastAsia" w:ascii="Times New Roman" w:hAnsi="Times New Roman" w:cs="Times New Roman"/>
          <w:color w:val="000000"/>
          <w:sz w:val="24"/>
          <w:lang w:val="en-US" w:eastAsia="zh-CN"/>
        </w:rPr>
        <w:t>绿化</w:t>
      </w:r>
      <w:r>
        <w:rPr>
          <w:rFonts w:hint="default" w:ascii="Times New Roman" w:hAnsi="Times New Roman" w:cs="Times New Roman"/>
          <w:color w:val="000000"/>
          <w:sz w:val="24"/>
        </w:rPr>
        <w:t>用水水质标准值，说明该处理措施</w:t>
      </w:r>
      <w:r>
        <w:rPr>
          <w:color w:val="000000"/>
          <w:sz w:val="24"/>
        </w:rPr>
        <w:t>是可行的。</w:t>
      </w:r>
    </w:p>
    <w:p>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（4）污水处理符合性分析</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color w:val="000000"/>
          <w:sz w:val="24"/>
        </w:rPr>
        <w:t>因项目处理处理感染性</w:t>
      </w:r>
      <w:r>
        <w:rPr>
          <w:rFonts w:hint="eastAsia"/>
          <w:color w:val="000000"/>
          <w:sz w:val="24"/>
          <w:lang w:eastAsia="zh-CN"/>
        </w:rPr>
        <w:t>、</w:t>
      </w:r>
      <w:r>
        <w:rPr>
          <w:rFonts w:hint="eastAsia"/>
          <w:color w:val="000000"/>
          <w:sz w:val="24"/>
        </w:rPr>
        <w:t>损伤性医疗废物，清洗消毒废水可能含有感染性，故项目废水处理工艺执行《医院污水处理工程</w:t>
      </w:r>
      <w:r>
        <w:rPr>
          <w:rFonts w:hint="default" w:ascii="Times New Roman" w:hAnsi="Times New Roman" w:cs="Times New Roman"/>
          <w:color w:val="000000"/>
          <w:sz w:val="24"/>
        </w:rPr>
        <w:t>技术规范》（HJ2029-2013）</w:t>
      </w:r>
      <w:r>
        <w:rPr>
          <w:rFonts w:hint="eastAsia"/>
          <w:color w:val="000000"/>
          <w:sz w:val="24"/>
        </w:rPr>
        <w:t>中传染病医院污水处理工艺。</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color w:val="000000"/>
          <w:sz w:val="24"/>
        </w:rPr>
        <w:t>本项目污水处理工艺为“</w:t>
      </w:r>
      <w:r>
        <w:rPr>
          <w:rFonts w:hint="default" w:ascii="Times New Roman" w:hAnsi="Times New Roman" w:cs="Times New Roman"/>
          <w:color w:val="auto"/>
          <w:sz w:val="24"/>
          <w:lang w:val="en-US" w:eastAsia="zh-CN"/>
        </w:rPr>
        <w:t>格栅+</w:t>
      </w:r>
      <w:r>
        <w:rPr>
          <w:rFonts w:hint="default" w:ascii="Times New Roman" w:hAnsi="Times New Roman" w:cs="Times New Roman"/>
          <w:color w:val="auto"/>
          <w:sz w:val="24"/>
        </w:rPr>
        <w:t>调节池+</w:t>
      </w:r>
      <w:r>
        <w:rPr>
          <w:rFonts w:hint="default" w:ascii="Times New Roman" w:hAnsi="Times New Roman" w:cs="Times New Roman"/>
          <w:sz w:val="24"/>
          <w:szCs w:val="22"/>
          <w:lang w:val="en-US" w:eastAsia="zh-CN"/>
        </w:rPr>
        <w:t>A</w:t>
      </w:r>
      <w:r>
        <w:rPr>
          <w:rFonts w:hint="default" w:ascii="Times New Roman" w:hAnsi="Times New Roman" w:cs="Times New Roman"/>
          <w:sz w:val="24"/>
          <w:szCs w:val="22"/>
          <w:vertAlign w:val="subscript"/>
          <w:lang w:val="en-US" w:eastAsia="zh-CN"/>
        </w:rPr>
        <w:t>2</w:t>
      </w:r>
      <w:r>
        <w:rPr>
          <w:rFonts w:hint="default" w:ascii="Times New Roman" w:hAnsi="Times New Roman" w:cs="Times New Roman"/>
          <w:sz w:val="24"/>
          <w:szCs w:val="22"/>
          <w:lang w:val="en-US" w:eastAsia="zh-CN"/>
        </w:rPr>
        <w:t>0+</w:t>
      </w:r>
      <w:r>
        <w:rPr>
          <w:rFonts w:hint="default" w:ascii="Times New Roman" w:hAnsi="Times New Roman" w:cs="Times New Roman"/>
          <w:color w:val="auto"/>
          <w:sz w:val="24"/>
        </w:rPr>
        <w:t>MBR 膜生物反应+消毒</w:t>
      </w:r>
      <w:r>
        <w:rPr>
          <w:rFonts w:hint="default" w:ascii="Times New Roman" w:hAnsi="Times New Roman" w:cs="Times New Roman"/>
          <w:color w:val="000000"/>
          <w:sz w:val="24"/>
        </w:rPr>
        <w:t>”，满足《医院污水处理工程技术规范》（HJ2029-2013）图3中传染病医院污</w:t>
      </w:r>
      <w:r>
        <w:rPr>
          <w:rFonts w:hint="default" w:ascii="Times New Roman" w:hAnsi="Times New Roman" w:cs="Times New Roman"/>
          <w:sz w:val="24"/>
        </w:rPr>
        <w:t>水处理工艺流</w:t>
      </w:r>
      <w:r>
        <w:rPr>
          <w:rFonts w:hint="eastAsia"/>
          <w:sz w:val="24"/>
        </w:rPr>
        <w:t>程。</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传染病医院污水处理工艺流程见下图6.2-3。</w:t>
      </w:r>
    </w:p>
    <w:p>
      <w:pPr>
        <w:spacing w:line="360" w:lineRule="auto"/>
        <w:rPr>
          <w:rFonts w:hint="eastAsia"/>
          <w:sz w:val="24"/>
        </w:rPr>
      </w:pPr>
      <w:r>
        <w:drawing>
          <wp:inline distT="0" distB="0" distL="114300" distR="114300">
            <wp:extent cx="5269865" cy="2197100"/>
            <wp:effectExtent l="0" t="0" r="6985" b="1270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19"/>
                    <a:stretch>
                      <a:fillRect/>
                    </a:stretch>
                  </pic:blipFill>
                  <pic:spPr>
                    <a:xfrm>
                      <a:off x="0" y="0"/>
                      <a:ext cx="5269865" cy="2197100"/>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cs="Times New Roman"/>
          <w:b/>
          <w:bCs/>
          <w:szCs w:val="21"/>
        </w:rPr>
        <w:t>图6.2-3    传染病医院污水处理工艺流程</w:t>
      </w:r>
    </w:p>
    <w:p>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（5）生产废水、生活污水依托处理可行性分析</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color w:val="auto"/>
          <w:sz w:val="24"/>
        </w:rPr>
        <w:t>本项目生产废水</w:t>
      </w:r>
      <w:r>
        <w:rPr>
          <w:rFonts w:hint="default" w:ascii="Times New Roman" w:hAnsi="Times New Roman" w:cs="Times New Roman"/>
          <w:color w:val="auto"/>
          <w:sz w:val="24"/>
          <w:lang w:val="en-US" w:eastAsia="zh-CN"/>
        </w:rPr>
        <w:t>非供暖季</w:t>
      </w:r>
      <w:r>
        <w:rPr>
          <w:rFonts w:hint="default" w:ascii="Times New Roman" w:hAnsi="Times New Roman" w:cs="Times New Roman"/>
          <w:color w:val="auto"/>
          <w:sz w:val="24"/>
        </w:rPr>
        <w:t>处理后全部回用不外排，</w:t>
      </w:r>
      <w:r>
        <w:rPr>
          <w:rFonts w:hint="default" w:ascii="Times New Roman" w:hAnsi="Times New Roman" w:cs="Times New Roman"/>
          <w:color w:val="auto"/>
          <w:sz w:val="24"/>
          <w:lang w:val="en-US" w:eastAsia="zh-CN"/>
        </w:rPr>
        <w:t>供暖季处理后经罐车拉运至</w:t>
      </w:r>
      <w:r>
        <w:rPr>
          <w:rFonts w:hint="eastAsia" w:ascii="Times New Roman" w:hAnsi="Times New Roman" w:cs="Times New Roman"/>
          <w:color w:val="auto"/>
          <w:sz w:val="24"/>
          <w:lang w:val="en-US" w:eastAsia="zh-CN"/>
        </w:rPr>
        <w:t>突泉县突泉镇清源污水处理厂</w:t>
      </w:r>
      <w:r>
        <w:rPr>
          <w:rFonts w:hint="default" w:ascii="Times New Roman" w:hAnsi="Times New Roman" w:cs="Times New Roman"/>
          <w:color w:val="auto"/>
          <w:sz w:val="24"/>
          <w:lang w:val="en-US" w:eastAsia="zh-CN"/>
        </w:rPr>
        <w:t>进一步处理</w:t>
      </w:r>
      <w:r>
        <w:rPr>
          <w:rFonts w:hint="eastAsia" w:ascii="Times New Roman" w:hAnsi="Times New Roman" w:cs="Times New Roman"/>
          <w:color w:val="auto"/>
          <w:sz w:val="24"/>
          <w:lang w:val="en-US" w:eastAsia="zh-CN"/>
        </w:rPr>
        <w:t>；</w:t>
      </w:r>
      <w:r>
        <w:rPr>
          <w:rFonts w:hint="default" w:ascii="Times New Roman" w:hAnsi="Times New Roman" w:cs="Times New Roman"/>
          <w:color w:val="auto"/>
          <w:kern w:val="0"/>
          <w:sz w:val="24"/>
          <w:szCs w:val="24"/>
        </w:rPr>
        <w:t>生活污水</w:t>
      </w:r>
      <w:r>
        <w:rPr>
          <w:rFonts w:hint="default" w:ascii="Times New Roman" w:hAnsi="Times New Roman" w:cs="Times New Roman"/>
          <w:color w:val="auto"/>
          <w:kern w:val="0"/>
          <w:sz w:val="24"/>
          <w:szCs w:val="24"/>
          <w:lang w:eastAsia="zh-CN"/>
        </w:rPr>
        <w:t>排入本项目</w:t>
      </w:r>
      <w:r>
        <w:rPr>
          <w:rFonts w:hint="default" w:ascii="Times New Roman" w:hAnsi="Times New Roman" w:cs="Times New Roman"/>
          <w:color w:val="auto"/>
          <w:kern w:val="0"/>
          <w:sz w:val="24"/>
          <w:szCs w:val="24"/>
        </w:rPr>
        <w:t>新建防渗化粪池后</w:t>
      </w:r>
      <w:r>
        <w:rPr>
          <w:rFonts w:hint="default" w:ascii="Times New Roman" w:hAnsi="Times New Roman" w:cs="Times New Roman"/>
          <w:color w:val="auto"/>
          <w:sz w:val="24"/>
          <w:szCs w:val="24"/>
          <w:lang w:val="en-US" w:eastAsia="zh-CN"/>
        </w:rPr>
        <w:t>定期由吸污车清运至</w:t>
      </w:r>
      <w:r>
        <w:rPr>
          <w:rFonts w:hint="eastAsia" w:ascii="Times New Roman" w:hAnsi="Times New Roman" w:cs="Times New Roman"/>
          <w:color w:val="auto"/>
          <w:sz w:val="24"/>
          <w:szCs w:val="24"/>
          <w:lang w:val="en-US" w:eastAsia="zh-CN"/>
        </w:rPr>
        <w:t>突泉县突泉镇清源污水处理厂</w:t>
      </w:r>
      <w:r>
        <w:rPr>
          <w:rFonts w:hint="default" w:ascii="Times New Roman" w:hAnsi="Times New Roman" w:cs="Times New Roman"/>
          <w:color w:val="auto"/>
          <w:sz w:val="24"/>
          <w:szCs w:val="24"/>
          <w:lang w:val="en-US" w:eastAsia="zh-CN"/>
        </w:rPr>
        <w:t>处理</w:t>
      </w:r>
      <w:r>
        <w:rPr>
          <w:rFonts w:hint="eastAsia" w:ascii="Times New Roman" w:hAnsi="Times New Roman" w:cs="Times New Roman"/>
          <w:color w:val="auto"/>
          <w:sz w:val="24"/>
          <w:szCs w:val="24"/>
          <w:lang w:val="en-US"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突泉县突泉镇清源污水处理厂</w:t>
      </w:r>
      <w:r>
        <w:rPr>
          <w:rFonts w:hint="default" w:ascii="Times New Roman" w:hAnsi="Times New Roman" w:eastAsia="宋体" w:cs="Times New Roman"/>
          <w:sz w:val="24"/>
          <w:szCs w:val="24"/>
          <w:lang w:val="en-US" w:eastAsia="zh-CN"/>
        </w:rPr>
        <w:t>设计进水水质</w:t>
      </w:r>
      <w:r>
        <w:rPr>
          <w:rFonts w:hint="default" w:ascii="Times New Roman" w:hAnsi="Times New Roman" w:cs="Times New Roman"/>
          <w:color w:val="auto"/>
          <w:sz w:val="24"/>
          <w:lang w:eastAsia="zh-CN"/>
        </w:rPr>
        <w:t>见下表</w:t>
      </w:r>
      <w:r>
        <w:rPr>
          <w:rFonts w:hint="default" w:ascii="Times New Roman" w:hAnsi="Times New Roman" w:cs="Times New Roman"/>
          <w:color w:val="auto"/>
          <w:sz w:val="24"/>
          <w:lang w:val="en-US" w:eastAsia="zh-CN"/>
        </w:rPr>
        <w:t>6.2-6，设计</w:t>
      </w:r>
      <w:r>
        <w:rPr>
          <w:rFonts w:hint="default" w:ascii="Times New Roman" w:hAnsi="Times New Roman" w:cs="Times New Roman"/>
          <w:color w:val="auto"/>
          <w:sz w:val="24"/>
        </w:rPr>
        <w:t>出水标准</w:t>
      </w:r>
      <w:r>
        <w:rPr>
          <w:rFonts w:hint="default" w:ascii="Times New Roman" w:hAnsi="Times New Roman" w:cs="Times New Roman"/>
          <w:color w:val="auto"/>
          <w:sz w:val="24"/>
          <w:lang w:eastAsia="zh-CN"/>
        </w:rPr>
        <w:t>满足</w:t>
      </w:r>
      <w:r>
        <w:rPr>
          <w:rFonts w:hint="default" w:ascii="Times New Roman" w:hAnsi="Times New Roman" w:cs="Times New Roman"/>
          <w:color w:val="auto"/>
          <w:sz w:val="24"/>
        </w:rPr>
        <w:t>《生活垃圾填埋场控制标准》GB16889-2008表2标准及《城市污水再生利用 城市杂用水水质》（GB/T18920）</w:t>
      </w:r>
      <w:r>
        <w:rPr>
          <w:rFonts w:hint="default" w:ascii="Times New Roman" w:hAnsi="Times New Roman" w:cs="Times New Roman"/>
          <w:color w:val="auto"/>
          <w:sz w:val="24"/>
          <w:lang w:eastAsia="zh-CN"/>
        </w:rPr>
        <w:t>中</w:t>
      </w:r>
      <w:r>
        <w:rPr>
          <w:rFonts w:hint="default" w:ascii="Times New Roman" w:hAnsi="Times New Roman" w:cs="Times New Roman"/>
          <w:color w:val="auto"/>
          <w:sz w:val="24"/>
        </w:rPr>
        <w:t>标准</w:t>
      </w:r>
      <w:r>
        <w:rPr>
          <w:rFonts w:hint="default" w:ascii="Times New Roman" w:hAnsi="Times New Roman" w:cs="Times New Roman"/>
          <w:color w:val="auto"/>
          <w:sz w:val="24"/>
          <w:lang w:eastAsia="zh-CN"/>
        </w:rPr>
        <w:t>限值</w:t>
      </w:r>
      <w:r>
        <w:rPr>
          <w:color w:val="auto"/>
          <w:sz w:val="24"/>
        </w:rPr>
        <w:t>。</w:t>
      </w:r>
    </w:p>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 xml:space="preserve">6.2-6  </w:t>
      </w:r>
      <w:r>
        <w:rPr>
          <w:rFonts w:hint="eastAsia" w:ascii="Times New Roman" w:hAnsi="Times New Roman" w:eastAsia="宋体" w:cs="Times New Roman"/>
          <w:b/>
          <w:bCs/>
          <w:color w:val="auto"/>
          <w:sz w:val="21"/>
          <w:szCs w:val="21"/>
          <w:lang w:val="en-US" w:eastAsia="zh-CN"/>
        </w:rPr>
        <w:t>突泉县突泉镇清源污水处理厂</w:t>
      </w:r>
      <w:r>
        <w:rPr>
          <w:rFonts w:hint="default" w:ascii="Times New Roman" w:hAnsi="Times New Roman" w:cs="Times New Roman"/>
          <w:b/>
          <w:bCs/>
          <w:color w:val="auto"/>
          <w:sz w:val="21"/>
          <w:szCs w:val="21"/>
          <w:lang w:eastAsia="zh-CN"/>
        </w:rPr>
        <w:t>设计进水水质</w:t>
      </w:r>
      <w:r>
        <w:rPr>
          <w:rFonts w:hint="default" w:ascii="Times New Roman" w:hAnsi="Times New Roman" w:cs="Times New Roman"/>
          <w:b/>
          <w:bCs/>
          <w:color w:val="auto"/>
          <w:sz w:val="21"/>
          <w:szCs w:val="21"/>
          <w:lang w:val="en-US" w:eastAsia="zh-CN"/>
        </w:rPr>
        <w:t xml:space="preserve">  mg/L</w:t>
      </w:r>
    </w:p>
    <w:tbl>
      <w:tblPr>
        <w:tblStyle w:val="2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37"/>
        <w:gridCol w:w="38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b/>
                <w:color w:val="auto"/>
              </w:rPr>
            </w:pPr>
            <w:r>
              <w:rPr>
                <w:rFonts w:hint="default" w:ascii="Times New Roman" w:hAnsi="Times New Roman" w:cs="Times New Roman"/>
                <w:b/>
                <w:color w:val="auto"/>
              </w:rPr>
              <w:t>项目</w:t>
            </w:r>
          </w:p>
        </w:tc>
        <w:tc>
          <w:tcPr>
            <w:tcW w:w="2278" w:type="pct"/>
            <w:tcBorders>
              <w:tl2br w:val="nil"/>
              <w:tr2bl w:val="nil"/>
            </w:tcBorders>
            <w:noWrap w:val="0"/>
            <w:vAlign w:val="center"/>
          </w:tcPr>
          <w:p>
            <w:pPr>
              <w:pStyle w:val="51"/>
              <w:rPr>
                <w:rFonts w:hint="default" w:ascii="Times New Roman" w:hAnsi="Times New Roman" w:eastAsia="宋体" w:cs="Times New Roman"/>
                <w:b/>
                <w:color w:val="auto"/>
                <w:lang w:val="en-US" w:eastAsia="zh-CN"/>
              </w:rPr>
            </w:pPr>
            <w:r>
              <w:rPr>
                <w:rFonts w:hint="eastAsia" w:ascii="Times New Roman" w:hAnsi="Times New Roman" w:cs="Times New Roman"/>
                <w:b/>
                <w:color w:val="auto"/>
                <w:lang w:val="en-US" w:eastAsia="zh-CN"/>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2721" w:type="pct"/>
            <w:tcBorders>
              <w:tl2br w:val="nil"/>
              <w:tr2bl w:val="nil"/>
            </w:tcBorders>
            <w:noWrap w:val="0"/>
            <w:vAlign w:val="center"/>
          </w:tcPr>
          <w:p>
            <w:pPr>
              <w:pStyle w:val="51"/>
              <w:rPr>
                <w:rFonts w:hint="default" w:ascii="Times New Roman" w:hAnsi="Times New Roman" w:eastAsia="宋体" w:cs="Times New Roman"/>
                <w:color w:val="auto"/>
                <w:lang w:eastAsia="zh-CN"/>
              </w:rPr>
            </w:pPr>
            <w:r>
              <w:rPr>
                <w:rFonts w:hint="default" w:ascii="Times New Roman" w:hAnsi="Times New Roman" w:cs="Times New Roman"/>
                <w:color w:val="auto"/>
              </w:rPr>
              <w:t>pH</w:t>
            </w:r>
            <w:r>
              <w:rPr>
                <w:rFonts w:hint="default" w:ascii="Times New Roman" w:hAnsi="Times New Roman" w:cs="Times New Roman"/>
                <w:color w:val="auto"/>
                <w:lang w:eastAsia="zh-CN"/>
              </w:rPr>
              <w:t>（无量纲）</w:t>
            </w:r>
          </w:p>
        </w:tc>
        <w:tc>
          <w:tcPr>
            <w:tcW w:w="2278" w:type="pct"/>
            <w:tcBorders>
              <w:tl2br w:val="nil"/>
              <w:tr2bl w:val="nil"/>
            </w:tcBorders>
            <w:noWrap w:val="0"/>
            <w:vAlign w:val="center"/>
          </w:tcPr>
          <w:p>
            <w:pPr>
              <w:pStyle w:val="51"/>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色度</w:t>
            </w:r>
          </w:p>
        </w:tc>
        <w:tc>
          <w:tcPr>
            <w:tcW w:w="2278" w:type="pct"/>
            <w:tcBorders>
              <w:tl2br w:val="nil"/>
              <w:tr2bl w:val="nil"/>
            </w:tcBorders>
            <w:noWrap w:val="0"/>
            <w:vAlign w:val="center"/>
          </w:tcPr>
          <w:p>
            <w:pPr>
              <w:pStyle w:val="51"/>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p>
        </w:tc>
        <w:tc>
          <w:tcPr>
            <w:tcW w:w="2278" w:type="pct"/>
            <w:tcBorders>
              <w:tl2br w:val="nil"/>
              <w:tr2bl w:val="nil"/>
            </w:tcBorders>
            <w:noWrap w:val="0"/>
            <w:vAlign w:val="center"/>
          </w:tcPr>
          <w:p>
            <w:pPr>
              <w:pStyle w:val="51"/>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COD</w:t>
            </w:r>
            <w:r>
              <w:rPr>
                <w:rFonts w:hint="default" w:ascii="Times New Roman" w:hAnsi="Times New Roman" w:cs="Times New Roman"/>
                <w:color w:val="auto"/>
                <w:vertAlign w:val="subscript"/>
              </w:rPr>
              <w:t>cr</w:t>
            </w:r>
          </w:p>
        </w:tc>
        <w:tc>
          <w:tcPr>
            <w:tcW w:w="2278" w:type="pct"/>
            <w:tcBorders>
              <w:tl2br w:val="nil"/>
              <w:tr2bl w:val="nil"/>
            </w:tcBorders>
            <w:noWrap w:val="0"/>
            <w:vAlign w:val="center"/>
          </w:tcPr>
          <w:p>
            <w:pPr>
              <w:pStyle w:val="51"/>
              <w:rPr>
                <w:rFonts w:hint="default" w:ascii="Times New Roman" w:hAnsi="Times New Roman" w:eastAsia="宋体" w:cs="Times New Roman"/>
                <w:color w:val="auto"/>
                <w:lang w:val="en-US" w:eastAsia="zh-CN"/>
              </w:rPr>
            </w:pPr>
            <w:r>
              <w:rPr>
                <w:rFonts w:hint="eastAsia" w:cs="Times New Roman"/>
                <w:color w:val="auto"/>
                <w:lang w:val="en-US" w:eastAsia="zh-CN"/>
              </w:rPr>
              <w:t>4</w:t>
            </w:r>
            <w:r>
              <w:rPr>
                <w:rFonts w:hint="eastAsia" w:ascii="Times New Roman" w:hAnsi="Times New Roman" w:cs="Times New Roman"/>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SS</w:t>
            </w:r>
          </w:p>
        </w:tc>
        <w:tc>
          <w:tcPr>
            <w:tcW w:w="2278" w:type="pct"/>
            <w:tcBorders>
              <w:tl2br w:val="nil"/>
              <w:tr2bl w:val="nil"/>
            </w:tcBorders>
            <w:noWrap w:val="0"/>
            <w:vAlign w:val="center"/>
          </w:tcPr>
          <w:p>
            <w:pPr>
              <w:pStyle w:val="51"/>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-N</w:t>
            </w:r>
          </w:p>
        </w:tc>
        <w:tc>
          <w:tcPr>
            <w:tcW w:w="2278" w:type="pct"/>
            <w:tcBorders>
              <w:tl2br w:val="nil"/>
              <w:tr2bl w:val="nil"/>
            </w:tcBorders>
            <w:noWrap w:val="0"/>
            <w:vAlign w:val="center"/>
          </w:tcPr>
          <w:p>
            <w:pPr>
              <w:pStyle w:val="51"/>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TN</w:t>
            </w:r>
          </w:p>
        </w:tc>
        <w:tc>
          <w:tcPr>
            <w:tcW w:w="2278" w:type="pct"/>
            <w:tcBorders>
              <w:tl2br w:val="nil"/>
              <w:tr2bl w:val="nil"/>
            </w:tcBorders>
            <w:noWrap w:val="0"/>
            <w:vAlign w:val="center"/>
          </w:tcPr>
          <w:p>
            <w:pPr>
              <w:pStyle w:val="51"/>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总大肠菌群</w:t>
            </w:r>
          </w:p>
        </w:tc>
        <w:tc>
          <w:tcPr>
            <w:tcW w:w="2278"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总磷</w:t>
            </w:r>
          </w:p>
        </w:tc>
        <w:tc>
          <w:tcPr>
            <w:tcW w:w="2278" w:type="pct"/>
            <w:tcBorders>
              <w:tl2br w:val="nil"/>
              <w:tr2bl w:val="nil"/>
            </w:tcBorders>
            <w:noWrap w:val="0"/>
            <w:vAlign w:val="center"/>
          </w:tcPr>
          <w:p>
            <w:pPr>
              <w:pStyle w:val="51"/>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总砷</w:t>
            </w:r>
          </w:p>
        </w:tc>
        <w:tc>
          <w:tcPr>
            <w:tcW w:w="2278"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w:t>
            </w:r>
          </w:p>
        </w:tc>
      </w:tr>
    </w:tbl>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6.2-</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突泉县突泉镇清源污水处理厂</w:t>
      </w:r>
      <w:r>
        <w:rPr>
          <w:rFonts w:hint="default" w:ascii="Times New Roman" w:hAnsi="Times New Roman" w:cs="Times New Roman"/>
          <w:b/>
          <w:bCs/>
          <w:color w:val="auto"/>
          <w:sz w:val="21"/>
          <w:szCs w:val="21"/>
          <w:lang w:eastAsia="zh-CN"/>
        </w:rPr>
        <w:t>设计</w:t>
      </w:r>
      <w:r>
        <w:rPr>
          <w:rFonts w:hint="eastAsia" w:ascii="Times New Roman" w:hAnsi="Times New Roman" w:cs="Times New Roman"/>
          <w:b/>
          <w:bCs/>
          <w:color w:val="auto"/>
          <w:sz w:val="21"/>
          <w:szCs w:val="21"/>
          <w:lang w:val="en-US" w:eastAsia="zh-CN"/>
        </w:rPr>
        <w:t>出水</w:t>
      </w:r>
      <w:r>
        <w:rPr>
          <w:rFonts w:hint="default" w:ascii="Times New Roman" w:hAnsi="Times New Roman" w:cs="Times New Roman"/>
          <w:b/>
          <w:bCs/>
          <w:color w:val="auto"/>
          <w:sz w:val="21"/>
          <w:szCs w:val="21"/>
          <w:lang w:eastAsia="zh-CN"/>
        </w:rPr>
        <w:t>水质</w:t>
      </w:r>
      <w:r>
        <w:rPr>
          <w:rFonts w:hint="default" w:ascii="Times New Roman" w:hAnsi="Times New Roman" w:cs="Times New Roman"/>
          <w:b/>
          <w:bCs/>
          <w:color w:val="auto"/>
          <w:sz w:val="21"/>
          <w:szCs w:val="21"/>
          <w:lang w:val="en-US" w:eastAsia="zh-CN"/>
        </w:rPr>
        <w:t xml:space="preserve">  mg/L</w:t>
      </w:r>
    </w:p>
    <w:tbl>
      <w:tblPr>
        <w:tblStyle w:val="2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37"/>
        <w:gridCol w:w="38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b/>
                <w:color w:val="auto"/>
              </w:rPr>
            </w:pPr>
            <w:r>
              <w:rPr>
                <w:rFonts w:hint="default" w:ascii="Times New Roman" w:hAnsi="Times New Roman" w:cs="Times New Roman"/>
                <w:b/>
                <w:color w:val="auto"/>
              </w:rPr>
              <w:t>项目</w:t>
            </w:r>
          </w:p>
        </w:tc>
        <w:tc>
          <w:tcPr>
            <w:tcW w:w="2278" w:type="pct"/>
            <w:tcBorders>
              <w:tl2br w:val="nil"/>
              <w:tr2bl w:val="nil"/>
            </w:tcBorders>
            <w:noWrap w:val="0"/>
            <w:vAlign w:val="center"/>
          </w:tcPr>
          <w:p>
            <w:pPr>
              <w:pStyle w:val="51"/>
              <w:rPr>
                <w:rFonts w:hint="default" w:ascii="Times New Roman" w:hAnsi="Times New Roman" w:eastAsia="宋体" w:cs="Times New Roman"/>
                <w:b/>
                <w:color w:val="auto"/>
                <w:lang w:val="en-US" w:eastAsia="zh-CN"/>
              </w:rPr>
            </w:pPr>
            <w:r>
              <w:rPr>
                <w:rFonts w:hint="eastAsia" w:ascii="Times New Roman" w:hAnsi="Times New Roman" w:cs="Times New Roman"/>
                <w:b/>
                <w:color w:val="auto"/>
                <w:lang w:val="en-US" w:eastAsia="zh-CN"/>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2721" w:type="pct"/>
            <w:tcBorders>
              <w:tl2br w:val="nil"/>
              <w:tr2bl w:val="nil"/>
            </w:tcBorders>
            <w:noWrap w:val="0"/>
            <w:vAlign w:val="center"/>
          </w:tcPr>
          <w:p>
            <w:pPr>
              <w:pStyle w:val="51"/>
              <w:rPr>
                <w:rFonts w:hint="default" w:ascii="Times New Roman" w:hAnsi="Times New Roman" w:eastAsia="宋体" w:cs="Times New Roman"/>
                <w:color w:val="auto"/>
                <w:lang w:eastAsia="zh-CN"/>
              </w:rPr>
            </w:pPr>
            <w:r>
              <w:rPr>
                <w:rFonts w:hint="default" w:ascii="Times New Roman" w:hAnsi="Times New Roman" w:cs="Times New Roman"/>
                <w:color w:val="auto"/>
              </w:rPr>
              <w:t>pH</w:t>
            </w:r>
            <w:r>
              <w:rPr>
                <w:rFonts w:hint="default" w:ascii="Times New Roman" w:hAnsi="Times New Roman" w:cs="Times New Roman"/>
                <w:color w:val="auto"/>
                <w:lang w:eastAsia="zh-CN"/>
              </w:rPr>
              <w:t>（无量纲）</w:t>
            </w:r>
          </w:p>
        </w:tc>
        <w:tc>
          <w:tcPr>
            <w:tcW w:w="2278" w:type="pct"/>
            <w:tcBorders>
              <w:tl2br w:val="nil"/>
              <w:tr2bl w:val="nil"/>
            </w:tcBorders>
            <w:noWrap w:val="0"/>
            <w:vAlign w:val="center"/>
          </w:tcPr>
          <w:p>
            <w:pPr>
              <w:pStyle w:val="51"/>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色度</w:t>
            </w:r>
          </w:p>
        </w:tc>
        <w:tc>
          <w:tcPr>
            <w:tcW w:w="2278" w:type="pct"/>
            <w:tcBorders>
              <w:tl2br w:val="nil"/>
              <w:tr2bl w:val="nil"/>
            </w:tcBorders>
            <w:noWrap w:val="0"/>
            <w:vAlign w:val="center"/>
          </w:tcPr>
          <w:p>
            <w:pPr>
              <w:pStyle w:val="51"/>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p>
        </w:tc>
        <w:tc>
          <w:tcPr>
            <w:tcW w:w="2278" w:type="pct"/>
            <w:tcBorders>
              <w:tl2br w:val="nil"/>
              <w:tr2bl w:val="nil"/>
            </w:tcBorders>
            <w:noWrap w:val="0"/>
            <w:vAlign w:val="center"/>
          </w:tcPr>
          <w:p>
            <w:pPr>
              <w:pStyle w:val="51"/>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COD</w:t>
            </w:r>
            <w:r>
              <w:rPr>
                <w:rFonts w:hint="default" w:ascii="Times New Roman" w:hAnsi="Times New Roman" w:cs="Times New Roman"/>
                <w:color w:val="auto"/>
                <w:vertAlign w:val="subscript"/>
              </w:rPr>
              <w:t>cr</w:t>
            </w:r>
          </w:p>
        </w:tc>
        <w:tc>
          <w:tcPr>
            <w:tcW w:w="2278" w:type="pct"/>
            <w:tcBorders>
              <w:tl2br w:val="nil"/>
              <w:tr2bl w:val="nil"/>
            </w:tcBorders>
            <w:noWrap w:val="0"/>
            <w:vAlign w:val="center"/>
          </w:tcPr>
          <w:p>
            <w:pPr>
              <w:pStyle w:val="51"/>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SS</w:t>
            </w:r>
          </w:p>
        </w:tc>
        <w:tc>
          <w:tcPr>
            <w:tcW w:w="2278" w:type="pct"/>
            <w:tcBorders>
              <w:tl2br w:val="nil"/>
              <w:tr2bl w:val="nil"/>
            </w:tcBorders>
            <w:noWrap w:val="0"/>
            <w:vAlign w:val="center"/>
          </w:tcPr>
          <w:p>
            <w:pPr>
              <w:pStyle w:val="51"/>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-N</w:t>
            </w:r>
          </w:p>
        </w:tc>
        <w:tc>
          <w:tcPr>
            <w:tcW w:w="2278" w:type="pct"/>
            <w:tcBorders>
              <w:tl2br w:val="nil"/>
              <w:tr2bl w:val="nil"/>
            </w:tcBorders>
            <w:noWrap w:val="0"/>
            <w:vAlign w:val="center"/>
          </w:tcPr>
          <w:p>
            <w:pPr>
              <w:pStyle w:val="51"/>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TN</w:t>
            </w:r>
          </w:p>
        </w:tc>
        <w:tc>
          <w:tcPr>
            <w:tcW w:w="2278" w:type="pct"/>
            <w:tcBorders>
              <w:tl2br w:val="nil"/>
              <w:tr2bl w:val="nil"/>
            </w:tcBorders>
            <w:noWrap w:val="0"/>
            <w:vAlign w:val="center"/>
          </w:tcPr>
          <w:p>
            <w:pPr>
              <w:pStyle w:val="51"/>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总大肠菌群</w:t>
            </w:r>
          </w:p>
        </w:tc>
        <w:tc>
          <w:tcPr>
            <w:tcW w:w="2278"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总磷</w:t>
            </w:r>
          </w:p>
        </w:tc>
        <w:tc>
          <w:tcPr>
            <w:tcW w:w="2278" w:type="pct"/>
            <w:tcBorders>
              <w:tl2br w:val="nil"/>
              <w:tr2bl w:val="nil"/>
            </w:tcBorders>
            <w:noWrap w:val="0"/>
            <w:vAlign w:val="center"/>
          </w:tcPr>
          <w:p>
            <w:pPr>
              <w:pStyle w:val="51"/>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1"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总砷</w:t>
            </w:r>
          </w:p>
        </w:tc>
        <w:tc>
          <w:tcPr>
            <w:tcW w:w="2278" w:type="pct"/>
            <w:tcBorders>
              <w:tl2br w:val="nil"/>
              <w:tr2bl w:val="nil"/>
            </w:tcBorders>
            <w:noWrap w:val="0"/>
            <w:vAlign w:val="center"/>
          </w:tcPr>
          <w:p>
            <w:pPr>
              <w:pStyle w:val="51"/>
              <w:rPr>
                <w:rFonts w:hint="default" w:ascii="Times New Roman" w:hAnsi="Times New Roman" w:cs="Times New Roman"/>
                <w:color w:val="auto"/>
              </w:rPr>
            </w:pPr>
            <w:r>
              <w:rPr>
                <w:rFonts w:hint="default" w:ascii="Times New Roman" w:hAnsi="Times New Roman" w:cs="Times New Roman"/>
                <w:color w:val="auto"/>
              </w:rPr>
              <w:t>/</w:t>
            </w:r>
          </w:p>
        </w:tc>
      </w:tr>
    </w:tbl>
    <w:p>
      <w:pPr>
        <w:spacing w:line="360" w:lineRule="auto"/>
        <w:ind w:firstLine="480" w:firstLineChars="200"/>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sz w:val="24"/>
          <w:szCs w:val="24"/>
          <w:lang w:val="en-US" w:eastAsia="zh-CN"/>
        </w:rPr>
        <w:t>突泉县突泉镇清源污水处理厂</w:t>
      </w:r>
      <w:r>
        <w:rPr>
          <w:rFonts w:hint="default" w:ascii="Times New Roman" w:hAnsi="Times New Roman" w:eastAsia="宋体" w:cs="Times New Roman"/>
          <w:sz w:val="24"/>
          <w:szCs w:val="24"/>
          <w:lang w:val="en-US" w:eastAsia="zh-CN"/>
        </w:rPr>
        <w:t>废水处理工艺为生物膜法，设计日处理量1.5万</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val="en-US" w:eastAsia="zh-CN"/>
        </w:rPr>
        <w:t>当前接纳废水量为8000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本项目污水产生最大量为3.92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含生活污水</w:t>
      </w:r>
      <w:r>
        <w:rPr>
          <w:rFonts w:hint="default" w:ascii="Times New Roman" w:hAnsi="Times New Roman" w:cs="Times New Roman"/>
          <w:color w:val="auto"/>
          <w:sz w:val="24"/>
          <w:lang w:eastAsia="zh-CN"/>
        </w:rPr>
        <w:t>）。综上，本项目</w:t>
      </w:r>
      <w:r>
        <w:rPr>
          <w:rFonts w:hint="default" w:ascii="Times New Roman" w:hAnsi="Times New Roman" w:cs="Times New Roman"/>
          <w:color w:val="auto"/>
          <w:sz w:val="24"/>
          <w:lang w:val="en-US" w:eastAsia="zh-CN"/>
        </w:rPr>
        <w:t>废水</w:t>
      </w:r>
      <w:r>
        <w:rPr>
          <w:rFonts w:hint="default" w:ascii="Times New Roman" w:hAnsi="Times New Roman" w:cs="Times New Roman"/>
          <w:color w:val="auto"/>
          <w:sz w:val="24"/>
          <w:lang w:eastAsia="zh-CN"/>
        </w:rPr>
        <w:t>水质、水量满足</w:t>
      </w:r>
      <w:r>
        <w:rPr>
          <w:rFonts w:hint="eastAsia" w:ascii="Times New Roman" w:hAnsi="Times New Roman" w:cs="Times New Roman"/>
          <w:color w:val="auto"/>
          <w:sz w:val="24"/>
          <w:szCs w:val="24"/>
          <w:lang w:val="en-US" w:eastAsia="zh-CN"/>
        </w:rPr>
        <w:t>突泉县突泉镇清源污水处理厂</w:t>
      </w:r>
      <w:r>
        <w:rPr>
          <w:rFonts w:hint="default" w:ascii="Times New Roman" w:hAnsi="Times New Roman" w:cs="Times New Roman"/>
          <w:color w:val="auto"/>
          <w:sz w:val="24"/>
          <w:szCs w:val="24"/>
          <w:lang w:eastAsia="zh-CN"/>
        </w:rPr>
        <w:t>接收及处理要求，故项目</w:t>
      </w:r>
      <w:r>
        <w:rPr>
          <w:rFonts w:hint="default" w:ascii="Times New Roman" w:hAnsi="Times New Roman" w:cs="Times New Roman"/>
          <w:color w:val="auto"/>
          <w:sz w:val="24"/>
          <w:szCs w:val="24"/>
          <w:lang w:val="en-US" w:eastAsia="zh-CN"/>
        </w:rPr>
        <w:t>废水</w:t>
      </w:r>
      <w:r>
        <w:rPr>
          <w:rFonts w:hint="default" w:ascii="Times New Roman" w:hAnsi="Times New Roman" w:cs="Times New Roman"/>
          <w:color w:val="auto"/>
          <w:sz w:val="24"/>
          <w:szCs w:val="24"/>
          <w:lang w:eastAsia="zh-CN"/>
        </w:rPr>
        <w:t>处理依托</w:t>
      </w:r>
      <w:r>
        <w:rPr>
          <w:rFonts w:hint="eastAsia" w:ascii="Times New Roman" w:hAnsi="Times New Roman" w:cs="Times New Roman"/>
          <w:color w:val="auto"/>
          <w:sz w:val="24"/>
          <w:szCs w:val="24"/>
          <w:lang w:val="en-US" w:eastAsia="zh-CN"/>
        </w:rPr>
        <w:t>突泉县突泉镇清源污水处理厂</w:t>
      </w:r>
      <w:r>
        <w:rPr>
          <w:rFonts w:hint="default" w:ascii="Times New Roman" w:hAnsi="Times New Roman" w:cs="Times New Roman"/>
          <w:color w:val="auto"/>
          <w:sz w:val="24"/>
          <w:szCs w:val="24"/>
          <w:lang w:val="en-US" w:eastAsia="zh-CN"/>
        </w:rPr>
        <w:t>处理</w:t>
      </w:r>
      <w:r>
        <w:rPr>
          <w:rFonts w:hint="default" w:ascii="Times New Roman" w:hAnsi="Times New Roman" w:cs="Times New Roman"/>
          <w:color w:val="auto"/>
          <w:sz w:val="24"/>
          <w:szCs w:val="24"/>
          <w:lang w:eastAsia="zh-CN"/>
        </w:rPr>
        <w:t>可</w:t>
      </w:r>
      <w:r>
        <w:rPr>
          <w:rFonts w:hint="eastAsia"/>
          <w:color w:val="auto"/>
          <w:sz w:val="24"/>
          <w:szCs w:val="24"/>
          <w:lang w:eastAsia="zh-CN"/>
        </w:rPr>
        <w:t>行。</w:t>
      </w:r>
    </w:p>
    <w:p>
      <w:pPr>
        <w:pStyle w:val="28"/>
        <w:rPr>
          <w:rFonts w:ascii="Times New Roman" w:hAnsi="Times New Roman"/>
          <w:color w:val="auto"/>
        </w:rPr>
      </w:pPr>
      <w:r>
        <w:rPr>
          <w:rFonts w:hint="eastAsia" w:ascii="Times New Roman" w:hAnsi="Times New Roman"/>
          <w:color w:val="auto"/>
        </w:rPr>
        <w:t>6</w:t>
      </w:r>
      <w:r>
        <w:rPr>
          <w:rFonts w:ascii="Times New Roman" w:hAnsi="Times New Roman"/>
          <w:color w:val="auto"/>
        </w:rPr>
        <w:t>.</w:t>
      </w:r>
      <w:r>
        <w:rPr>
          <w:rFonts w:hint="eastAsia" w:ascii="Times New Roman" w:hAnsi="Times New Roman"/>
          <w:color w:val="auto"/>
        </w:rPr>
        <w:t>2.2</w:t>
      </w:r>
      <w:r>
        <w:rPr>
          <w:rFonts w:ascii="Times New Roman" w:hAnsi="Times New Roman"/>
          <w:color w:val="auto"/>
        </w:rPr>
        <w:t>.</w:t>
      </w:r>
      <w:r>
        <w:rPr>
          <w:rFonts w:hint="eastAsia" w:ascii="Times New Roman" w:hAnsi="Times New Roman"/>
          <w:color w:val="auto"/>
        </w:rPr>
        <w:t>2地下水污染</w:t>
      </w:r>
      <w:r>
        <w:rPr>
          <w:rFonts w:ascii="Times New Roman" w:hAnsi="Times New Roman"/>
          <w:color w:val="auto"/>
        </w:rPr>
        <w:t>防治措施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1、地下水环境管理</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color w:val="auto"/>
          <w:sz w:val="24"/>
        </w:rPr>
        <w:t>为了防止建设项目生产运行对地下水环境构成不利影响，建设单位必须制订全面的、长期的环境管理计划，根据环评提出的主要环境问题及环保措施，提出项目的环境管理计划，供各级部门进行环境管理参考。</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sz w:val="24"/>
        </w:rPr>
        <w:t>（1）有关管理部门按照“三同时”的原则，加强对入区项目地下水各项污染防治措施建设及运行的监督；</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（2）厂区地下水环境管理应纳入正规化和规范化的管理体制，建立健全和长效环境管理机制；</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（3）企业内部设置环境保护管理科，建立环境污染因子监测站或者定期委托当地监测站进行监测，将监测数据进行统计存档，为有关部门的环境管理提供科学依据；</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（4）设厂区环保专职或兼职人员，同时制订各种规章制度和工作条例，对各种污染治理设施进行例行检查，在运营开始就同步全面开展工作。</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5）环境管理人员应定期以书面形式向环境保护行政主管部门进行报告，每月进行一次常规报告，每季度进行一次汇总报告，年终进行年终总结报告。报告内容包括：场地及影响区地下水环境监测数据、排污种类、数量、浓度，以及排放设施、治理措施运行状况和运行效果等；</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rPr>
        <w:t>（6）遇到突发污染事故时，环境管理人员应及时向单位主管领导汇报，同时采取</w:t>
      </w:r>
      <w:r>
        <w:rPr>
          <w:rFonts w:hint="eastAsia"/>
          <w:sz w:val="24"/>
        </w:rPr>
        <w:t>相应防治措施，主管领导应及时向环境保护行政管理部门及市级人民政府汇报。</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2、防渗措施</w:t>
      </w:r>
    </w:p>
    <w:p>
      <w:pPr>
        <w:widowControl/>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kern w:val="0"/>
          <w:sz w:val="24"/>
          <w:lang w:bidi="ar"/>
        </w:rPr>
        <w:t>（</w:t>
      </w:r>
      <w:r>
        <w:rPr>
          <w:rFonts w:hint="default" w:ascii="Times New Roman" w:hAnsi="Times New Roman" w:eastAsia="TimesNewRomanPSMT" w:cs="Times New Roman"/>
          <w:kern w:val="0"/>
          <w:sz w:val="24"/>
          <w:lang w:bidi="ar"/>
        </w:rPr>
        <w:t>1</w:t>
      </w:r>
      <w:r>
        <w:rPr>
          <w:rFonts w:hint="default" w:ascii="Times New Roman" w:hAnsi="Times New Roman" w:cs="Times New Roman"/>
          <w:kern w:val="0"/>
          <w:sz w:val="24"/>
          <w:lang w:bidi="ar"/>
        </w:rPr>
        <w:t xml:space="preserve">）污染防治分区 </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kern w:val="0"/>
          <w:sz w:val="24"/>
          <w:lang w:bidi="ar"/>
        </w:rPr>
        <w:t>参照《环境影响评价技术导则 地下水环境》（</w:t>
      </w:r>
      <w:r>
        <w:rPr>
          <w:rFonts w:hint="default" w:ascii="Times New Roman" w:hAnsi="Times New Roman" w:eastAsia="TimesNewRomanPSMT" w:cs="Times New Roman"/>
          <w:kern w:val="0"/>
          <w:sz w:val="24"/>
          <w:lang w:bidi="ar"/>
        </w:rPr>
        <w:t>HJ610</w:t>
      </w:r>
      <w:r>
        <w:rPr>
          <w:rFonts w:hint="default" w:ascii="Times New Roman" w:hAnsi="Times New Roman" w:cs="Times New Roman"/>
          <w:kern w:val="0"/>
          <w:sz w:val="24"/>
          <w:lang w:bidi="ar"/>
        </w:rPr>
        <w:t>－</w:t>
      </w:r>
      <w:r>
        <w:rPr>
          <w:rFonts w:hint="default" w:ascii="Times New Roman" w:hAnsi="Times New Roman" w:eastAsia="TimesNewRomanPSMT" w:cs="Times New Roman"/>
          <w:kern w:val="0"/>
          <w:sz w:val="24"/>
          <w:lang w:bidi="ar"/>
        </w:rPr>
        <w:t>2016</w:t>
      </w:r>
      <w:r>
        <w:rPr>
          <w:rFonts w:hint="default" w:ascii="Times New Roman" w:hAnsi="Times New Roman" w:cs="Times New Roman"/>
          <w:kern w:val="0"/>
          <w:sz w:val="24"/>
          <w:lang w:bidi="ar"/>
        </w:rPr>
        <w:t>）地下水分区防渗要求，将厂区划分为重点防渗区、一般防渗区和简单防渗区</w:t>
      </w:r>
      <w:r>
        <w:rPr>
          <w:rFonts w:hint="eastAsia" w:ascii="宋体" w:hAnsi="宋体" w:cs="宋体"/>
          <w:kern w:val="0"/>
          <w:sz w:val="24"/>
          <w:lang w:bidi="ar"/>
        </w:rPr>
        <w:t>。</w:t>
      </w:r>
    </w:p>
    <w:p>
      <w:pPr>
        <w:widowControl/>
        <w:spacing w:line="360" w:lineRule="auto"/>
        <w:ind w:firstLine="480" w:firstLineChars="200"/>
        <w:jc w:val="left"/>
        <w:rPr>
          <w:sz w:val="24"/>
        </w:rPr>
      </w:pPr>
      <w:r>
        <w:rPr>
          <w:rFonts w:hint="eastAsia" w:ascii="宋体" w:hAnsi="宋体" w:cs="宋体"/>
          <w:kern w:val="0"/>
          <w:sz w:val="24"/>
          <w:lang w:bidi="ar"/>
        </w:rPr>
        <w:t xml:space="preserve">①重点防渗区 </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kern w:val="0"/>
          <w:sz w:val="24"/>
          <w:lang w:bidi="ar"/>
        </w:rPr>
        <w:t>处理车间：上料</w:t>
      </w:r>
      <w:r>
        <w:rPr>
          <w:rFonts w:hint="default" w:ascii="Times New Roman" w:hAnsi="Times New Roman" w:cs="Times New Roman"/>
          <w:kern w:val="0"/>
          <w:sz w:val="24"/>
          <w:lang w:val="en-US" w:eastAsia="zh-CN" w:bidi="ar"/>
        </w:rPr>
        <w:t>区</w:t>
      </w:r>
      <w:r>
        <w:rPr>
          <w:rFonts w:hint="default" w:ascii="Times New Roman" w:hAnsi="Times New Roman" w:cs="Times New Roman"/>
          <w:kern w:val="0"/>
          <w:sz w:val="24"/>
          <w:lang w:bidi="ar"/>
        </w:rPr>
        <w:t>、</w:t>
      </w:r>
      <w:r>
        <w:rPr>
          <w:rFonts w:hint="default" w:ascii="Times New Roman" w:hAnsi="Times New Roman" w:cs="Times New Roman"/>
          <w:kern w:val="0"/>
          <w:sz w:val="24"/>
          <w:lang w:val="en-US" w:eastAsia="zh-CN" w:bidi="ar"/>
        </w:rPr>
        <w:t>高温蒸汽</w:t>
      </w:r>
      <w:r>
        <w:rPr>
          <w:rFonts w:hint="default" w:ascii="Times New Roman" w:hAnsi="Times New Roman" w:cs="Times New Roman"/>
          <w:kern w:val="0"/>
          <w:sz w:val="24"/>
          <w:lang w:bidi="ar"/>
        </w:rPr>
        <w:t>处理系统区及</w:t>
      </w:r>
      <w:r>
        <w:rPr>
          <w:rFonts w:hint="default" w:ascii="Times New Roman" w:hAnsi="Times New Roman" w:cs="Times New Roman"/>
          <w:sz w:val="24"/>
        </w:rPr>
        <w:t>1.0米墙裙</w:t>
      </w:r>
      <w:r>
        <w:rPr>
          <w:rFonts w:hint="default" w:ascii="Times New Roman" w:hAnsi="Times New Roman" w:cs="Times New Roman"/>
          <w:kern w:val="0"/>
          <w:sz w:val="24"/>
          <w:lang w:bidi="ar"/>
        </w:rPr>
        <w:t>、污水处理区、周转桶消毒清洗池、洗车间、周转桶晾晒间、冷库及</w:t>
      </w:r>
      <w:r>
        <w:rPr>
          <w:rFonts w:hint="default" w:ascii="Times New Roman" w:hAnsi="Times New Roman" w:cs="Times New Roman"/>
          <w:sz w:val="24"/>
        </w:rPr>
        <w:t>1.0米墙裙</w:t>
      </w:r>
      <w:r>
        <w:rPr>
          <w:rFonts w:hint="default" w:ascii="Times New Roman" w:hAnsi="Times New Roman" w:cs="Times New Roman"/>
          <w:kern w:val="0"/>
          <w:sz w:val="24"/>
          <w:lang w:bidi="ar"/>
        </w:rPr>
        <w:t>、</w:t>
      </w:r>
      <w:r>
        <w:rPr>
          <w:rFonts w:hint="eastAsia" w:ascii="Times New Roman" w:hAnsi="Times New Roman" w:cs="Times New Roman"/>
          <w:kern w:val="0"/>
          <w:sz w:val="24"/>
          <w:lang w:val="en-US" w:eastAsia="zh-CN" w:bidi="ar"/>
        </w:rPr>
        <w:t>消毒物资间、</w:t>
      </w:r>
      <w:r>
        <w:rPr>
          <w:rFonts w:hint="default" w:ascii="Times New Roman" w:hAnsi="Times New Roman" w:cs="Times New Roman"/>
          <w:kern w:val="0"/>
          <w:sz w:val="24"/>
          <w:lang w:val="en-US" w:eastAsia="zh-CN" w:bidi="ar"/>
        </w:rPr>
        <w:t>废气处理区</w:t>
      </w:r>
      <w:r>
        <w:rPr>
          <w:rFonts w:hint="default" w:ascii="Times New Roman" w:hAnsi="Times New Roman" w:cs="Times New Roman"/>
          <w:kern w:val="0"/>
          <w:sz w:val="24"/>
          <w:lang w:bidi="ar"/>
        </w:rPr>
        <w:t>、危废暂存间及</w:t>
      </w:r>
      <w:r>
        <w:rPr>
          <w:rFonts w:hint="default" w:ascii="Times New Roman" w:hAnsi="Times New Roman" w:cs="Times New Roman"/>
          <w:sz w:val="24"/>
        </w:rPr>
        <w:t>1.0米墙裙</w:t>
      </w:r>
      <w:r>
        <w:rPr>
          <w:rFonts w:hint="default" w:ascii="Times New Roman" w:hAnsi="Times New Roman" w:cs="Times New Roman"/>
          <w:kern w:val="0"/>
          <w:sz w:val="24"/>
          <w:lang w:bidi="ar"/>
        </w:rPr>
        <w:t>、化粪池、</w:t>
      </w:r>
      <w:r>
        <w:rPr>
          <w:rFonts w:hint="eastAsia" w:ascii="Times New Roman" w:hAnsi="Times New Roman" w:cs="Times New Roman"/>
          <w:kern w:val="0"/>
          <w:sz w:val="24"/>
          <w:lang w:val="en-US" w:eastAsia="zh-CN" w:bidi="ar"/>
        </w:rPr>
        <w:t>玻璃污水罐区</w:t>
      </w:r>
      <w:r>
        <w:rPr>
          <w:rFonts w:hint="eastAsia" w:ascii="宋体" w:hAnsi="宋体" w:cs="宋体"/>
          <w:kern w:val="0"/>
          <w:sz w:val="24"/>
          <w:lang w:bidi="ar"/>
        </w:rPr>
        <w:t>。</w:t>
      </w:r>
    </w:p>
    <w:p>
      <w:pPr>
        <w:widowControl/>
        <w:spacing w:line="360" w:lineRule="auto"/>
        <w:ind w:firstLine="480" w:firstLineChars="200"/>
        <w:jc w:val="left"/>
        <w:rPr>
          <w:sz w:val="24"/>
        </w:rPr>
      </w:pPr>
      <w:r>
        <w:rPr>
          <w:kern w:val="0"/>
          <w:sz w:val="24"/>
          <w:lang w:bidi="ar"/>
        </w:rPr>
        <w:t xml:space="preserve">②一般防渗区 </w:t>
      </w:r>
    </w:p>
    <w:p>
      <w:pPr>
        <w:widowControl/>
        <w:spacing w:line="360" w:lineRule="auto"/>
        <w:ind w:firstLine="480" w:firstLineChars="200"/>
        <w:jc w:val="left"/>
        <w:rPr>
          <w:kern w:val="0"/>
          <w:sz w:val="24"/>
          <w:lang w:bidi="ar"/>
        </w:rPr>
      </w:pPr>
      <w:r>
        <w:rPr>
          <w:kern w:val="0"/>
          <w:sz w:val="24"/>
          <w:lang w:bidi="ar"/>
        </w:rPr>
        <w:t>处理车间：出料</w:t>
      </w:r>
      <w:r>
        <w:rPr>
          <w:rFonts w:hint="eastAsia"/>
          <w:kern w:val="0"/>
          <w:sz w:val="24"/>
          <w:lang w:val="en-US" w:eastAsia="zh-CN" w:bidi="ar"/>
        </w:rPr>
        <w:t>区</w:t>
      </w:r>
      <w:r>
        <w:rPr>
          <w:kern w:val="0"/>
          <w:sz w:val="24"/>
          <w:lang w:bidi="ar"/>
        </w:rPr>
        <w:t>、消防水池。</w:t>
      </w:r>
    </w:p>
    <w:p>
      <w:pPr>
        <w:widowControl/>
        <w:spacing w:line="360" w:lineRule="auto"/>
        <w:ind w:firstLine="480" w:firstLineChars="200"/>
        <w:jc w:val="left"/>
        <w:rPr>
          <w:kern w:val="0"/>
          <w:sz w:val="24"/>
          <w:lang w:bidi="ar"/>
        </w:rPr>
      </w:pPr>
      <w:r>
        <w:rPr>
          <w:kern w:val="0"/>
          <w:sz w:val="24"/>
          <w:lang w:bidi="ar"/>
        </w:rPr>
        <w:fldChar w:fldCharType="begin"/>
      </w:r>
      <w:r>
        <w:rPr>
          <w:kern w:val="0"/>
          <w:sz w:val="24"/>
          <w:lang w:bidi="ar"/>
        </w:rPr>
        <w:instrText xml:space="preserve"> = 3 \* GB3 \* MERGEFORMAT </w:instrText>
      </w:r>
      <w:r>
        <w:rPr>
          <w:kern w:val="0"/>
          <w:sz w:val="24"/>
          <w:lang w:bidi="ar"/>
        </w:rPr>
        <w:fldChar w:fldCharType="separate"/>
      </w:r>
      <w:r>
        <w:rPr>
          <w:sz w:val="24"/>
        </w:rPr>
        <w:t>③</w:t>
      </w:r>
      <w:r>
        <w:rPr>
          <w:kern w:val="0"/>
          <w:sz w:val="24"/>
          <w:lang w:bidi="ar"/>
        </w:rPr>
        <w:fldChar w:fldCharType="end"/>
      </w:r>
      <w:r>
        <w:rPr>
          <w:kern w:val="0"/>
          <w:sz w:val="24"/>
          <w:lang w:bidi="ar"/>
        </w:rPr>
        <w:t>简单防渗区</w:t>
      </w:r>
    </w:p>
    <w:p>
      <w:pPr>
        <w:spacing w:line="360" w:lineRule="auto"/>
        <w:ind w:firstLine="480" w:firstLineChars="200"/>
        <w:rPr>
          <w:rFonts w:hint="eastAsia" w:ascii="Times New Roman" w:hAnsi="Times New Roman" w:eastAsia="宋体" w:cs="Times New Roman"/>
          <w:sz w:val="24"/>
          <w:szCs w:val="24"/>
          <w:lang w:val="en-US" w:eastAsia="zh-CN"/>
        </w:rPr>
      </w:pPr>
      <w:r>
        <w:rPr>
          <w:kern w:val="0"/>
          <w:sz w:val="24"/>
          <w:lang w:bidi="ar"/>
        </w:rPr>
        <w:t>配电室、中控室、更衣淋浴间、车库、卫生间、办公生活管理区、厂区道路等。</w:t>
      </w:r>
    </w:p>
    <w:p>
      <w:pPr>
        <w:widowControl/>
        <w:spacing w:line="360" w:lineRule="auto"/>
        <w:ind w:firstLine="480" w:firstLineChars="200"/>
        <w:jc w:val="left"/>
        <w:rPr>
          <w:sz w:val="24"/>
        </w:rPr>
      </w:pPr>
      <w:r>
        <w:rPr>
          <w:rFonts w:hint="default" w:ascii="Times New Roman" w:hAnsi="Times New Roman" w:cs="Times New Roman"/>
          <w:kern w:val="0"/>
          <w:sz w:val="24"/>
          <w:lang w:bidi="ar"/>
        </w:rPr>
        <w:t>（2）防</w:t>
      </w:r>
      <w:r>
        <w:rPr>
          <w:kern w:val="0"/>
          <w:sz w:val="24"/>
          <w:lang w:bidi="ar"/>
        </w:rPr>
        <w:t xml:space="preserve">治措施 </w:t>
      </w:r>
    </w:p>
    <w:p>
      <w:pPr>
        <w:widowControl/>
        <w:spacing w:line="360" w:lineRule="auto"/>
        <w:ind w:firstLine="480" w:firstLineChars="200"/>
        <w:jc w:val="left"/>
        <w:rPr>
          <w:sz w:val="24"/>
        </w:rPr>
      </w:pPr>
      <w:r>
        <w:rPr>
          <w:kern w:val="0"/>
          <w:sz w:val="24"/>
          <w:lang w:bidi="ar"/>
        </w:rPr>
        <w:t>根据防渗参照的标准和规范，结合施工过程中的可操作性和技术水平，针对不同的防渗区域采用的防渗措施如下。具体设计时可根据实际情况在满足防渗标准的前提下作必要的调整</w:t>
      </w:r>
      <w:r>
        <w:rPr>
          <w:rFonts w:hint="eastAsia" w:ascii="宋体" w:hAnsi="宋体" w:cs="宋体"/>
          <w:kern w:val="0"/>
          <w:sz w:val="24"/>
          <w:lang w:bidi="ar"/>
        </w:rPr>
        <w:t>。</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kern w:val="0"/>
          <w:sz w:val="24"/>
          <w:lang w:bidi="ar"/>
        </w:rPr>
        <w:t>工程防渗的设计标准应符合下列规定：设备、地下管道、建构筑物防渗的设计使用年限不应低于其主体的设计使用年限；针对不同的防渗区域采用不同的防渗措施。重点防渗区防渗层的防渗性能应达到等效黏土防渗层</w:t>
      </w:r>
      <w:r>
        <w:rPr>
          <w:rFonts w:hint="default" w:ascii="Times New Roman" w:hAnsi="Times New Roman" w:eastAsia="TimesNewRomanPSMT" w:cs="Times New Roman"/>
          <w:kern w:val="0"/>
          <w:sz w:val="24"/>
          <w:lang w:bidi="ar"/>
        </w:rPr>
        <w:t>Mb</w:t>
      </w:r>
      <w:r>
        <w:rPr>
          <w:rFonts w:hint="default" w:ascii="Times New Roman" w:hAnsi="Times New Roman" w:cs="Times New Roman"/>
          <w:kern w:val="0"/>
          <w:sz w:val="24"/>
          <w:lang w:bidi="ar"/>
        </w:rPr>
        <w:t>≥</w:t>
      </w:r>
      <w:r>
        <w:rPr>
          <w:rFonts w:hint="default" w:ascii="Times New Roman" w:hAnsi="Times New Roman" w:eastAsia="TimesNewRomanPSMT" w:cs="Times New Roman"/>
          <w:kern w:val="0"/>
          <w:sz w:val="24"/>
          <w:lang w:bidi="ar"/>
        </w:rPr>
        <w:t>6.0m</w:t>
      </w:r>
      <w:r>
        <w:rPr>
          <w:rFonts w:hint="default" w:ascii="Times New Roman" w:hAnsi="Times New Roman" w:cs="Times New Roman"/>
          <w:kern w:val="0"/>
          <w:sz w:val="24"/>
          <w:lang w:bidi="ar"/>
        </w:rPr>
        <w:t>，渗透系数</w:t>
      </w:r>
      <w:r>
        <w:rPr>
          <w:rFonts w:hint="default" w:ascii="Times New Roman" w:hAnsi="Times New Roman" w:eastAsia="TimesNewRomanPSMT" w:cs="Times New Roman"/>
          <w:kern w:val="0"/>
          <w:sz w:val="24"/>
          <w:lang w:bidi="ar"/>
        </w:rPr>
        <w:t>K</w:t>
      </w:r>
      <w:r>
        <w:rPr>
          <w:rFonts w:hint="default" w:ascii="Times New Roman" w:hAnsi="Times New Roman" w:cs="Times New Roman"/>
          <w:kern w:val="0"/>
          <w:sz w:val="24"/>
          <w:lang w:bidi="ar"/>
        </w:rPr>
        <w:t>≤</w:t>
      </w:r>
      <w:r>
        <w:rPr>
          <w:rFonts w:hint="default" w:ascii="Times New Roman" w:hAnsi="Times New Roman" w:eastAsia="TimesNewRomanPSMT" w:cs="Times New Roman"/>
          <w:kern w:val="0"/>
          <w:sz w:val="24"/>
          <w:lang w:bidi="ar"/>
        </w:rPr>
        <w:t>1×10</w:t>
      </w:r>
      <w:r>
        <w:rPr>
          <w:rFonts w:hint="default" w:ascii="Times New Roman" w:hAnsi="Times New Roman" w:eastAsia="TimesNewRomanPSMT" w:cs="Times New Roman"/>
          <w:kern w:val="0"/>
          <w:sz w:val="24"/>
          <w:vertAlign w:val="superscript"/>
          <w:lang w:bidi="ar"/>
        </w:rPr>
        <w:t>-</w:t>
      </w:r>
      <w:r>
        <w:rPr>
          <w:rFonts w:hint="eastAsia" w:ascii="Times New Roman" w:hAnsi="Times New Roman" w:eastAsia="宋体" w:cs="Times New Roman"/>
          <w:kern w:val="0"/>
          <w:sz w:val="24"/>
          <w:vertAlign w:val="superscript"/>
          <w:lang w:val="en-US" w:eastAsia="zh-CN" w:bidi="ar"/>
        </w:rPr>
        <w:t>10</w:t>
      </w:r>
      <w:r>
        <w:rPr>
          <w:rFonts w:hint="default" w:ascii="Times New Roman" w:hAnsi="Times New Roman" w:eastAsia="TimesNewRomanPSMT" w:cs="Times New Roman"/>
          <w:kern w:val="0"/>
          <w:sz w:val="24"/>
          <w:lang w:bidi="ar"/>
        </w:rPr>
        <w:t xml:space="preserve">cm/s </w:t>
      </w:r>
      <w:r>
        <w:rPr>
          <w:rFonts w:hint="default" w:ascii="Times New Roman" w:hAnsi="Times New Roman" w:cs="Times New Roman"/>
          <w:kern w:val="0"/>
          <w:sz w:val="24"/>
          <w:lang w:bidi="ar"/>
        </w:rPr>
        <w:t xml:space="preserve">；一般防渗区的防渗性能应达到等效黏土防渗层 </w:t>
      </w:r>
      <w:r>
        <w:rPr>
          <w:rFonts w:hint="default" w:ascii="Times New Roman" w:hAnsi="Times New Roman" w:eastAsia="TimesNewRomanPSMT" w:cs="Times New Roman"/>
          <w:kern w:val="0"/>
          <w:sz w:val="24"/>
          <w:lang w:bidi="ar"/>
        </w:rPr>
        <w:t>Mb</w:t>
      </w:r>
      <w:r>
        <w:rPr>
          <w:rFonts w:hint="default" w:ascii="Times New Roman" w:hAnsi="Times New Roman" w:cs="Times New Roman"/>
          <w:kern w:val="0"/>
          <w:sz w:val="24"/>
          <w:lang w:bidi="ar"/>
        </w:rPr>
        <w:t>≥</w:t>
      </w:r>
      <w:r>
        <w:rPr>
          <w:rFonts w:hint="default" w:ascii="Times New Roman" w:hAnsi="Times New Roman" w:eastAsia="TimesNewRomanPSMT" w:cs="Times New Roman"/>
          <w:kern w:val="0"/>
          <w:sz w:val="24"/>
          <w:lang w:bidi="ar"/>
        </w:rPr>
        <w:t>1.5m</w:t>
      </w:r>
      <w:r>
        <w:rPr>
          <w:rFonts w:hint="default" w:ascii="Times New Roman" w:hAnsi="Times New Roman" w:cs="Times New Roman"/>
          <w:kern w:val="0"/>
          <w:sz w:val="24"/>
          <w:lang w:bidi="ar"/>
        </w:rPr>
        <w:t xml:space="preserve">，渗透系数 </w:t>
      </w:r>
      <w:r>
        <w:rPr>
          <w:rFonts w:hint="default" w:ascii="Times New Roman" w:hAnsi="Times New Roman" w:eastAsia="TimesNewRomanPSMT" w:cs="Times New Roman"/>
          <w:kern w:val="0"/>
          <w:sz w:val="24"/>
          <w:lang w:bidi="ar"/>
        </w:rPr>
        <w:t>K</w:t>
      </w:r>
      <w:r>
        <w:rPr>
          <w:rFonts w:hint="default" w:ascii="Times New Roman" w:hAnsi="Times New Roman" w:cs="Times New Roman"/>
          <w:kern w:val="0"/>
          <w:sz w:val="24"/>
          <w:lang w:bidi="ar"/>
        </w:rPr>
        <w:t>≤</w:t>
      </w:r>
      <w:r>
        <w:rPr>
          <w:rFonts w:hint="default" w:ascii="Times New Roman" w:hAnsi="Times New Roman" w:eastAsia="TimesNewRomanPSMT" w:cs="Times New Roman"/>
          <w:kern w:val="0"/>
          <w:sz w:val="24"/>
          <w:lang w:bidi="ar"/>
        </w:rPr>
        <w:t>1×10</w:t>
      </w:r>
      <w:r>
        <w:rPr>
          <w:rFonts w:hint="default" w:ascii="Times New Roman" w:hAnsi="Times New Roman" w:eastAsia="TimesNewRomanPSMT" w:cs="Times New Roman"/>
          <w:kern w:val="0"/>
          <w:sz w:val="24"/>
          <w:vertAlign w:val="superscript"/>
          <w:lang w:bidi="ar"/>
        </w:rPr>
        <w:t>-7</w:t>
      </w:r>
      <w:r>
        <w:rPr>
          <w:rFonts w:hint="default" w:ascii="Times New Roman" w:hAnsi="Times New Roman" w:eastAsia="TimesNewRomanPSMT" w:cs="Times New Roman"/>
          <w:kern w:val="0"/>
          <w:sz w:val="24"/>
          <w:lang w:bidi="ar"/>
        </w:rPr>
        <w:t>cm/s</w:t>
      </w:r>
      <w:r>
        <w:rPr>
          <w:rFonts w:hint="default" w:ascii="Times New Roman" w:hAnsi="Times New Roman" w:cs="Times New Roman"/>
          <w:kern w:val="0"/>
          <w:sz w:val="23"/>
          <w:szCs w:val="23"/>
          <w:lang w:bidi="ar"/>
        </w:rPr>
        <w:t>；</w:t>
      </w:r>
      <w:r>
        <w:rPr>
          <w:rFonts w:hint="default" w:ascii="Times New Roman" w:hAnsi="Times New Roman" w:cs="Times New Roman"/>
          <w:kern w:val="0"/>
          <w:sz w:val="24"/>
          <w:lang w:bidi="ar"/>
        </w:rPr>
        <w:t>简单防渗区采用水泥硬化。本项目厂区防渗分区图详见图6.2-4</w:t>
      </w:r>
      <w:r>
        <w:rPr>
          <w:kern w:val="0"/>
          <w:sz w:val="24"/>
          <w:lang w:bidi="ar"/>
        </w:rPr>
        <w:t>。</w:t>
      </w:r>
    </w:p>
    <w:p>
      <w:pPr>
        <w:spacing w:line="360" w:lineRule="auto"/>
        <w:rPr>
          <w:rFonts w:hint="eastAsia" w:ascii="Times New Roman" w:hAnsi="Times New Roman" w:eastAsia="宋体" w:cs="Times New Roman"/>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jc w:val="center"/>
      </w:pPr>
      <w:r>
        <w:drawing>
          <wp:inline distT="0" distB="0" distL="114300" distR="114300">
            <wp:extent cx="7894320" cy="4583430"/>
            <wp:effectExtent l="0" t="0" r="11430" b="7620"/>
            <wp:docPr id="6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2"/>
                    <pic:cNvPicPr>
                      <a:picLocks noChangeAspect="1"/>
                    </pic:cNvPicPr>
                  </pic:nvPicPr>
                  <pic:blipFill>
                    <a:blip r:embed="rId20"/>
                    <a:stretch>
                      <a:fillRect/>
                    </a:stretch>
                  </pic:blipFill>
                  <pic:spPr>
                    <a:xfrm>
                      <a:off x="0" y="0"/>
                      <a:ext cx="7894320" cy="4583430"/>
                    </a:xfrm>
                    <a:prstGeom prst="rect">
                      <a:avLst/>
                    </a:prstGeom>
                    <a:noFill/>
                    <a:ln>
                      <a:noFill/>
                    </a:ln>
                  </pic:spPr>
                </pic:pic>
              </a:graphicData>
            </a:graphic>
          </wp:inline>
        </w:drawing>
      </w:r>
    </w:p>
    <w:p>
      <w:pPr>
        <w:jc w:val="cente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b/>
          <w:szCs w:val="21"/>
        </w:rPr>
        <w:t>图</w:t>
      </w:r>
      <w:r>
        <w:rPr>
          <w:rFonts w:hint="eastAsia"/>
          <w:b/>
          <w:szCs w:val="21"/>
        </w:rPr>
        <w:t xml:space="preserve">6.2-4 </w:t>
      </w:r>
      <w:r>
        <w:rPr>
          <w:b/>
          <w:szCs w:val="21"/>
        </w:rPr>
        <w:t xml:space="preserve"> </w:t>
      </w:r>
      <w:r>
        <w:rPr>
          <w:rFonts w:hint="eastAsia"/>
          <w:b/>
          <w:szCs w:val="21"/>
        </w:rPr>
        <w:t xml:space="preserve"> 本</w:t>
      </w:r>
      <w:r>
        <w:rPr>
          <w:b/>
          <w:szCs w:val="21"/>
        </w:rPr>
        <w:t>项目</w:t>
      </w:r>
      <w:r>
        <w:rPr>
          <w:rFonts w:hint="eastAsia"/>
          <w:b/>
          <w:szCs w:val="21"/>
          <w:lang w:val="en-US" w:eastAsia="zh-CN"/>
        </w:rPr>
        <w:t>厂区</w:t>
      </w:r>
      <w:r>
        <w:rPr>
          <w:b/>
          <w:szCs w:val="21"/>
        </w:rPr>
        <w:t>分区防渗图</w:t>
      </w:r>
    </w:p>
    <w:p>
      <w:pPr>
        <w:spacing w:line="360" w:lineRule="auto"/>
        <w:ind w:firstLine="480" w:firstLineChars="200"/>
        <w:rPr>
          <w:rFonts w:hint="eastAsia"/>
          <w:sz w:val="24"/>
        </w:rPr>
      </w:pPr>
      <w:r>
        <w:rPr>
          <w:rFonts w:hint="default" w:ascii="Times New Roman" w:hAnsi="Times New Roman" w:cs="Times New Roman"/>
          <w:sz w:val="24"/>
        </w:rPr>
        <w:t>3、地下水跟踪监控计划</w:t>
      </w:r>
    </w:p>
    <w:p>
      <w:pPr>
        <w:pStyle w:val="2"/>
        <w:spacing w:line="360" w:lineRule="auto"/>
        <w:ind w:left="0" w:leftChars="0" w:firstLine="480" w:firstLineChars="200"/>
        <w:rPr>
          <w:rFonts w:hint="eastAsia" w:ascii="宋体" w:hAnsi="宋体" w:cs="宋体"/>
          <w:color w:val="000000"/>
          <w:kern w:val="0"/>
          <w:sz w:val="24"/>
          <w:lang w:bidi="ar"/>
        </w:rPr>
      </w:pPr>
      <w:r>
        <w:rPr>
          <w:rFonts w:hint="eastAsia" w:ascii="宋体" w:hAnsi="宋体" w:cs="宋体"/>
          <w:color w:val="000000"/>
          <w:kern w:val="0"/>
          <w:sz w:val="24"/>
          <w:lang w:bidi="ar"/>
        </w:rPr>
        <w:t>为及时而准确的掌握项目厂区及周边地下水环境质量状况，发现问题及时解决，切实加强环境保护与环境管理，为此建议：在项目厂区建设过程中及投产运行期，建立地下水环境监控体系，包括建立地下水监控网点，建立完善监测制度。同时，配备相应的监测人员及配置先进的监测仪器设备。根据</w:t>
      </w:r>
      <w:r>
        <w:rPr>
          <w:sz w:val="24"/>
        </w:rPr>
        <w:t>HJ610</w:t>
      </w:r>
      <w:r>
        <w:rPr>
          <w:rFonts w:hint="eastAsia"/>
          <w:sz w:val="24"/>
        </w:rPr>
        <w:t>及</w:t>
      </w:r>
      <w:r>
        <w:rPr>
          <w:rFonts w:eastAsia="Times New Roman"/>
          <w:color w:val="000000"/>
          <w:kern w:val="0"/>
          <w:sz w:val="24"/>
          <w:lang w:bidi="ar"/>
        </w:rPr>
        <w:t>HJ164</w:t>
      </w:r>
      <w:r>
        <w:rPr>
          <w:rFonts w:hint="eastAsia" w:ascii="宋体" w:hAnsi="宋体" w:cs="宋体"/>
          <w:color w:val="000000"/>
          <w:kern w:val="0"/>
          <w:sz w:val="24"/>
          <w:lang w:bidi="ar"/>
        </w:rPr>
        <w:t>要求，在项目厂区及周边地区设置一定数量地下水质污染监控井，建立地下水质污染监控、预警体系。</w:t>
      </w:r>
    </w:p>
    <w:p>
      <w:pPr>
        <w:widowControl/>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color w:val="000000"/>
          <w:kern w:val="0"/>
          <w:sz w:val="24"/>
          <w:lang w:bidi="ar"/>
        </w:rPr>
        <w:t>（</w:t>
      </w:r>
      <w:r>
        <w:rPr>
          <w:rFonts w:hint="default" w:ascii="Times New Roman" w:hAnsi="Times New Roman" w:eastAsia="Times New Roman" w:cs="Times New Roman"/>
          <w:color w:val="000000"/>
          <w:kern w:val="0"/>
          <w:sz w:val="24"/>
          <w:lang w:bidi="ar"/>
        </w:rPr>
        <w:t>1</w:t>
      </w:r>
      <w:r>
        <w:rPr>
          <w:rFonts w:hint="default" w:ascii="Times New Roman" w:hAnsi="Times New Roman" w:cs="Times New Roman"/>
          <w:color w:val="000000"/>
          <w:kern w:val="0"/>
          <w:sz w:val="24"/>
          <w:lang w:bidi="ar"/>
        </w:rPr>
        <w:t>）监控井及监测因子</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根据HJ610及</w:t>
      </w:r>
      <w:r>
        <w:rPr>
          <w:rFonts w:hint="default" w:ascii="Times New Roman" w:hAnsi="Times New Roman" w:eastAsia="Times New Roman" w:cs="Times New Roman"/>
          <w:color w:val="000000"/>
          <w:kern w:val="0"/>
          <w:sz w:val="24"/>
          <w:lang w:bidi="ar"/>
        </w:rPr>
        <w:t>HJ164</w:t>
      </w:r>
      <w:r>
        <w:rPr>
          <w:rFonts w:hint="default" w:ascii="Times New Roman" w:hAnsi="Times New Roman" w:cs="Times New Roman"/>
          <w:sz w:val="24"/>
        </w:rPr>
        <w:t>的要求及地下水监控井布设原则，在项目厂区拟布设地下水水质监控井3眼，</w:t>
      </w:r>
      <w:r>
        <w:rPr>
          <w:rFonts w:hint="default" w:ascii="Times New Roman" w:hAnsi="Times New Roman" w:cs="Times New Roman"/>
          <w:color w:val="auto"/>
          <w:sz w:val="24"/>
          <w:szCs w:val="24"/>
          <w:highlight w:val="none"/>
          <w:lang w:val="en-US" w:eastAsia="zh-CN"/>
        </w:rPr>
        <w:t>其中1眼背景值监控井利用填埋场现有监控井，新建1眼侧向扩散监控井及1眼下游污染控制监</w:t>
      </w:r>
      <w:r>
        <w:rPr>
          <w:rFonts w:hint="eastAsia"/>
          <w:color w:val="auto"/>
          <w:sz w:val="24"/>
          <w:szCs w:val="24"/>
          <w:highlight w:val="none"/>
          <w:lang w:val="en-US" w:eastAsia="zh-CN"/>
        </w:rPr>
        <w:t>控井</w:t>
      </w:r>
      <w:r>
        <w:rPr>
          <w:rFonts w:hint="default" w:ascii="Times New Roman" w:hAnsi="Times New Roman" w:cs="Times New Roman"/>
          <w:sz w:val="24"/>
        </w:rPr>
        <w:t>。地下水环境监控点位置及监测因子见表6.2-6及图6.2-5。</w:t>
      </w:r>
    </w:p>
    <w:p>
      <w:pPr>
        <w:autoSpaceDE w:val="0"/>
        <w:autoSpaceDN w:val="0"/>
        <w:jc w:val="center"/>
        <w:rPr>
          <w:rFonts w:hint="default" w:ascii="Times New Roman" w:hAnsi="Times New Roman" w:cs="Times New Roman"/>
          <w:b/>
          <w:szCs w:val="21"/>
          <w:lang w:val="zh-CN"/>
        </w:rPr>
      </w:pPr>
      <w:r>
        <w:rPr>
          <w:rFonts w:hint="default" w:ascii="Times New Roman" w:hAnsi="Times New Roman" w:cs="Times New Roman"/>
          <w:b/>
          <w:szCs w:val="21"/>
          <w:lang w:val="zh-CN"/>
        </w:rPr>
        <w:t>表</w:t>
      </w:r>
      <w:r>
        <w:rPr>
          <w:rFonts w:hint="default" w:ascii="Times New Roman" w:hAnsi="Times New Roman" w:cs="Times New Roman"/>
          <w:b/>
          <w:szCs w:val="21"/>
        </w:rPr>
        <w:t xml:space="preserve">6.2-6  </w:t>
      </w:r>
      <w:r>
        <w:rPr>
          <w:rFonts w:hint="default" w:ascii="Times New Roman" w:hAnsi="Times New Roman" w:cs="Times New Roman"/>
          <w:b/>
          <w:szCs w:val="21"/>
          <w:lang w:val="zh-CN"/>
        </w:rPr>
        <w:t xml:space="preserve"> 地下水环境监</w:t>
      </w:r>
      <w:r>
        <w:rPr>
          <w:rFonts w:hint="default" w:ascii="Times New Roman" w:hAnsi="Times New Roman" w:cs="Times New Roman"/>
          <w:b/>
          <w:szCs w:val="21"/>
        </w:rPr>
        <w:t>控井</w:t>
      </w:r>
      <w:r>
        <w:rPr>
          <w:rFonts w:hint="default" w:ascii="Times New Roman" w:hAnsi="Times New Roman" w:cs="Times New Roman"/>
          <w:b/>
          <w:szCs w:val="21"/>
          <w:lang w:val="zh-CN"/>
        </w:rPr>
        <w:t>一览表</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48"/>
        <w:gridCol w:w="1892"/>
        <w:gridCol w:w="1893"/>
        <w:gridCol w:w="1893"/>
        <w:gridCol w:w="18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4" w:hRule="atLeast"/>
          <w:jc w:val="center"/>
        </w:trPr>
        <w:tc>
          <w:tcPr>
            <w:tcW w:w="556" w:type="pct"/>
            <w:tcBorders>
              <w:right w:val="single" w:color="auto" w:sz="4" w:space="0"/>
            </w:tcBorders>
            <w:noWrap w:val="0"/>
            <w:vAlign w:val="center"/>
          </w:tcPr>
          <w:p>
            <w:pPr>
              <w:pStyle w:val="60"/>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编号</w:t>
            </w:r>
          </w:p>
        </w:tc>
        <w:tc>
          <w:tcPr>
            <w:tcW w:w="1110" w:type="pct"/>
            <w:tcBorders>
              <w:right w:val="single" w:color="auto" w:sz="4" w:space="0"/>
            </w:tcBorders>
            <w:noWrap w:val="0"/>
            <w:vAlign w:val="center"/>
          </w:tcPr>
          <w:p>
            <w:pPr>
              <w:pStyle w:val="6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监控井作用</w:t>
            </w:r>
          </w:p>
        </w:tc>
        <w:tc>
          <w:tcPr>
            <w:tcW w:w="1111" w:type="pct"/>
            <w:tcBorders>
              <w:right w:val="single" w:color="auto" w:sz="4" w:space="0"/>
            </w:tcBorders>
            <w:noWrap w:val="0"/>
            <w:vAlign w:val="center"/>
          </w:tcPr>
          <w:p>
            <w:pPr>
              <w:pStyle w:val="6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相对位置</w:t>
            </w:r>
          </w:p>
        </w:tc>
        <w:tc>
          <w:tcPr>
            <w:tcW w:w="1111" w:type="pct"/>
            <w:tcBorders>
              <w:right w:val="single" w:color="auto" w:sz="4" w:space="0"/>
            </w:tcBorders>
            <w:noWrap w:val="0"/>
            <w:vAlign w:val="center"/>
          </w:tcPr>
          <w:p>
            <w:pPr>
              <w:pStyle w:val="6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监测层位</w:t>
            </w:r>
          </w:p>
        </w:tc>
        <w:tc>
          <w:tcPr>
            <w:tcW w:w="1111" w:type="pct"/>
            <w:tcBorders>
              <w:right w:val="single" w:color="auto" w:sz="4" w:space="0"/>
            </w:tcBorders>
            <w:noWrap w:val="0"/>
            <w:vAlign w:val="center"/>
          </w:tcPr>
          <w:p>
            <w:pPr>
              <w:pStyle w:val="6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pct"/>
            <w:tcBorders>
              <w:right w:val="single" w:color="auto" w:sz="4" w:space="0"/>
            </w:tcBorders>
            <w:noWrap w:val="0"/>
            <w:vAlign w:val="center"/>
          </w:tcPr>
          <w:p>
            <w:pPr>
              <w:pStyle w:val="6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JK1</w:t>
            </w:r>
          </w:p>
        </w:tc>
        <w:tc>
          <w:tcPr>
            <w:tcW w:w="1110" w:type="pct"/>
            <w:tcBorders>
              <w:right w:val="single" w:color="auto" w:sz="4" w:space="0"/>
            </w:tcBorders>
            <w:noWrap w:val="0"/>
            <w:vAlign w:val="center"/>
          </w:tcPr>
          <w:p>
            <w:pPr>
              <w:keepNext w:val="0"/>
              <w:keepLines w:val="0"/>
              <w:widowControl/>
              <w:suppressLineNumbers w:val="0"/>
              <w:spacing w:line="240" w:lineRule="auto"/>
              <w:jc w:val="center"/>
              <w:rPr>
                <w:rFonts w:hint="default" w:ascii="Times New Roman" w:hAnsi="Times New Roman" w:eastAsia="TimesNewRomanPSMT" w:cs="Times New Roman"/>
                <w:color w:val="000000"/>
                <w:kern w:val="0"/>
                <w:sz w:val="21"/>
                <w:szCs w:val="21"/>
                <w:highlight w:val="none"/>
                <w:lang w:val="en-US" w:eastAsia="zh-CN" w:bidi="ar"/>
              </w:rPr>
            </w:pPr>
            <w:r>
              <w:rPr>
                <w:rFonts w:hint="eastAsia" w:eastAsia="TimesNewRomanPSMT" w:cs="Times New Roman"/>
                <w:color w:val="000000"/>
                <w:kern w:val="0"/>
                <w:sz w:val="21"/>
                <w:szCs w:val="21"/>
                <w:highlight w:val="none"/>
                <w:lang w:val="en-US" w:eastAsia="zh-CN" w:bidi="ar"/>
              </w:rPr>
              <w:t>背景值监控</w:t>
            </w:r>
          </w:p>
        </w:tc>
        <w:tc>
          <w:tcPr>
            <w:tcW w:w="1111" w:type="pct"/>
            <w:tcBorders>
              <w:right w:val="single" w:color="auto" w:sz="4" w:space="0"/>
            </w:tcBorders>
            <w:noWrap w:val="0"/>
            <w:vAlign w:val="center"/>
          </w:tcPr>
          <w:p>
            <w:pPr>
              <w:keepNext w:val="0"/>
              <w:keepLines w:val="0"/>
              <w:widowControl/>
              <w:suppressLineNumbers w:val="0"/>
              <w:spacing w:line="240" w:lineRule="auto"/>
              <w:jc w:val="center"/>
              <w:rPr>
                <w:rFonts w:hint="default" w:eastAsia="TimesNewRomanPSMT" w:cs="Times New Roman"/>
                <w:color w:val="000000"/>
                <w:kern w:val="0"/>
                <w:sz w:val="21"/>
                <w:szCs w:val="21"/>
                <w:highlight w:val="none"/>
                <w:lang w:val="en-US" w:eastAsia="zh-CN" w:bidi="ar"/>
              </w:rPr>
            </w:pPr>
            <w:r>
              <w:rPr>
                <w:rFonts w:hint="eastAsia" w:eastAsia="TimesNewRomanPSMT" w:cs="Times New Roman"/>
                <w:color w:val="000000"/>
                <w:kern w:val="0"/>
                <w:sz w:val="21"/>
                <w:szCs w:val="21"/>
                <w:highlight w:val="none"/>
                <w:lang w:val="en-US" w:eastAsia="zh-CN" w:bidi="ar"/>
              </w:rPr>
              <w:t>厂区上游</w:t>
            </w:r>
          </w:p>
        </w:tc>
        <w:tc>
          <w:tcPr>
            <w:tcW w:w="1111" w:type="pct"/>
            <w:tcBorders>
              <w:right w:val="single" w:color="auto" w:sz="4" w:space="0"/>
            </w:tcBorders>
            <w:noWrap w:val="0"/>
            <w:vAlign w:val="center"/>
          </w:tcPr>
          <w:p>
            <w:pPr>
              <w:keepNext w:val="0"/>
              <w:keepLines w:val="0"/>
              <w:widowControl/>
              <w:suppressLineNumbers w:val="0"/>
              <w:spacing w:line="240" w:lineRule="auto"/>
              <w:jc w:val="center"/>
              <w:rPr>
                <w:rFonts w:hint="default" w:ascii="Times New Roman" w:hAnsi="Times New Roman" w:eastAsia="TimesNewRomanPSMT" w:cs="Times New Roman"/>
                <w:color w:val="000000"/>
                <w:kern w:val="0"/>
                <w:sz w:val="21"/>
                <w:szCs w:val="21"/>
                <w:highlight w:val="none"/>
                <w:lang w:val="en-US" w:eastAsia="zh-CN" w:bidi="ar"/>
              </w:rPr>
            </w:pPr>
            <w:r>
              <w:rPr>
                <w:rFonts w:hint="eastAsia" w:eastAsia="TimesNewRomanPSMT" w:cs="Times New Roman"/>
                <w:color w:val="000000"/>
                <w:kern w:val="0"/>
                <w:sz w:val="21"/>
                <w:szCs w:val="21"/>
                <w:highlight w:val="none"/>
                <w:lang w:val="en-US" w:eastAsia="zh-CN" w:bidi="ar"/>
              </w:rPr>
              <w:t>潜水含水层</w:t>
            </w:r>
          </w:p>
        </w:tc>
        <w:tc>
          <w:tcPr>
            <w:tcW w:w="1111" w:type="pct"/>
            <w:tcBorders>
              <w:right w:val="single" w:color="auto" w:sz="4" w:space="0"/>
            </w:tcBorders>
            <w:noWrap w:val="0"/>
            <w:vAlign w:val="center"/>
          </w:tcPr>
          <w:p>
            <w:pPr>
              <w:keepNext w:val="0"/>
              <w:keepLines w:val="0"/>
              <w:widowControl/>
              <w:suppressLineNumbers w:val="0"/>
              <w:spacing w:line="240" w:lineRule="auto"/>
              <w:jc w:val="center"/>
              <w:rPr>
                <w:rFonts w:hint="default" w:eastAsia="TimesNewRomanPSMT" w:cs="Times New Roman"/>
                <w:color w:val="000000"/>
                <w:kern w:val="0"/>
                <w:sz w:val="21"/>
                <w:szCs w:val="21"/>
                <w:highlight w:val="none"/>
                <w:lang w:val="en-US" w:eastAsia="zh-CN" w:bidi="ar"/>
              </w:rPr>
            </w:pPr>
            <w:r>
              <w:rPr>
                <w:rFonts w:hint="eastAsia" w:eastAsia="TimesNewRomanPSMT" w:cs="Times New Roman"/>
                <w:color w:val="000000"/>
                <w:kern w:val="0"/>
                <w:sz w:val="21"/>
                <w:szCs w:val="21"/>
                <w:highlight w:val="none"/>
                <w:lang w:val="en-US" w:eastAsia="zh-CN" w:bidi="ar"/>
              </w:rPr>
              <w:t>利用现有监控井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pct"/>
            <w:tcBorders>
              <w:right w:val="single" w:color="auto" w:sz="4" w:space="0"/>
            </w:tcBorders>
            <w:noWrap w:val="0"/>
            <w:vAlign w:val="center"/>
          </w:tcPr>
          <w:p>
            <w:pPr>
              <w:pStyle w:val="6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JK2</w:t>
            </w:r>
          </w:p>
        </w:tc>
        <w:tc>
          <w:tcPr>
            <w:tcW w:w="1110" w:type="pct"/>
            <w:tcBorders>
              <w:right w:val="single" w:color="auto" w:sz="4" w:space="0"/>
            </w:tcBorders>
            <w:noWrap w:val="0"/>
            <w:vAlign w:val="center"/>
          </w:tcPr>
          <w:p>
            <w:pPr>
              <w:keepNext w:val="0"/>
              <w:keepLines w:val="0"/>
              <w:widowControl/>
              <w:suppressLineNumbers w:val="0"/>
              <w:spacing w:line="240" w:lineRule="auto"/>
              <w:jc w:val="center"/>
              <w:rPr>
                <w:rFonts w:hint="default" w:ascii="Times New Roman" w:hAnsi="Times New Roman" w:eastAsia="TimesNewRomanPSMT" w:cs="Times New Roman"/>
                <w:color w:val="000000"/>
                <w:kern w:val="0"/>
                <w:sz w:val="21"/>
                <w:szCs w:val="21"/>
                <w:highlight w:val="none"/>
                <w:lang w:val="en-US" w:eastAsia="zh-CN" w:bidi="ar"/>
              </w:rPr>
            </w:pPr>
            <w:r>
              <w:rPr>
                <w:rFonts w:hint="eastAsia" w:eastAsia="TimesNewRomanPSMT" w:cs="Times New Roman"/>
                <w:color w:val="000000"/>
                <w:kern w:val="0"/>
                <w:sz w:val="21"/>
                <w:szCs w:val="21"/>
                <w:highlight w:val="none"/>
                <w:lang w:val="en-US" w:eastAsia="zh-CN" w:bidi="ar"/>
              </w:rPr>
              <w:t>侧向扩散监控</w:t>
            </w:r>
          </w:p>
        </w:tc>
        <w:tc>
          <w:tcPr>
            <w:tcW w:w="1111" w:type="pct"/>
            <w:tcBorders>
              <w:right w:val="single" w:color="auto" w:sz="4" w:space="0"/>
            </w:tcBorders>
            <w:noWrap w:val="0"/>
            <w:vAlign w:val="center"/>
          </w:tcPr>
          <w:p>
            <w:pPr>
              <w:keepNext w:val="0"/>
              <w:keepLines w:val="0"/>
              <w:widowControl/>
              <w:suppressLineNumbers w:val="0"/>
              <w:spacing w:line="240" w:lineRule="auto"/>
              <w:jc w:val="center"/>
              <w:rPr>
                <w:rFonts w:hint="default" w:eastAsia="TimesNewRomanPSMT" w:cs="Times New Roman"/>
                <w:color w:val="000000"/>
                <w:kern w:val="0"/>
                <w:sz w:val="21"/>
                <w:szCs w:val="21"/>
                <w:highlight w:val="none"/>
                <w:lang w:val="en-US" w:eastAsia="zh-CN" w:bidi="ar"/>
              </w:rPr>
            </w:pPr>
            <w:r>
              <w:rPr>
                <w:rFonts w:hint="eastAsia" w:cs="Times New Roman"/>
                <w:color w:val="auto"/>
                <w:sz w:val="21"/>
                <w:szCs w:val="21"/>
                <w:highlight w:val="none"/>
                <w:lang w:val="en-US" w:eastAsia="zh-CN"/>
              </w:rPr>
              <w:t>垃圾贮存处理间南侧</w:t>
            </w:r>
          </w:p>
        </w:tc>
        <w:tc>
          <w:tcPr>
            <w:tcW w:w="1111" w:type="pct"/>
            <w:tcBorders>
              <w:right w:val="single" w:color="auto" w:sz="4" w:space="0"/>
            </w:tcBorders>
            <w:noWrap w:val="0"/>
            <w:vAlign w:val="center"/>
          </w:tcPr>
          <w:p>
            <w:pPr>
              <w:keepNext w:val="0"/>
              <w:keepLines w:val="0"/>
              <w:widowControl/>
              <w:suppressLineNumbers w:val="0"/>
              <w:spacing w:line="240" w:lineRule="auto"/>
              <w:jc w:val="center"/>
              <w:rPr>
                <w:rFonts w:hint="default" w:ascii="Times New Roman" w:hAnsi="Times New Roman" w:eastAsia="TimesNewRomanPSMT" w:cs="Times New Roman"/>
                <w:color w:val="000000"/>
                <w:kern w:val="0"/>
                <w:sz w:val="21"/>
                <w:szCs w:val="21"/>
                <w:highlight w:val="none"/>
                <w:lang w:val="en-US" w:eastAsia="zh-CN" w:bidi="ar"/>
              </w:rPr>
            </w:pPr>
            <w:r>
              <w:rPr>
                <w:rFonts w:hint="eastAsia" w:eastAsia="TimesNewRomanPSMT" w:cs="Times New Roman"/>
                <w:color w:val="000000"/>
                <w:kern w:val="0"/>
                <w:sz w:val="21"/>
                <w:szCs w:val="21"/>
                <w:highlight w:val="none"/>
                <w:lang w:val="en-US" w:eastAsia="zh-CN" w:bidi="ar"/>
              </w:rPr>
              <w:t>潜水含水层</w:t>
            </w:r>
          </w:p>
        </w:tc>
        <w:tc>
          <w:tcPr>
            <w:tcW w:w="1111" w:type="pct"/>
            <w:tcBorders>
              <w:right w:val="single" w:color="auto" w:sz="4" w:space="0"/>
            </w:tcBorders>
            <w:noWrap w:val="0"/>
            <w:vAlign w:val="center"/>
          </w:tcPr>
          <w:p>
            <w:pPr>
              <w:keepNext w:val="0"/>
              <w:keepLines w:val="0"/>
              <w:widowControl/>
              <w:suppressLineNumbers w:val="0"/>
              <w:spacing w:line="240" w:lineRule="auto"/>
              <w:jc w:val="center"/>
              <w:rPr>
                <w:rFonts w:hint="default" w:eastAsia="TimesNewRomanPSMT" w:cs="Times New Roman"/>
                <w:color w:val="000000"/>
                <w:kern w:val="0"/>
                <w:sz w:val="21"/>
                <w:szCs w:val="21"/>
                <w:highlight w:val="none"/>
                <w:lang w:val="en-US" w:eastAsia="zh-CN" w:bidi="ar"/>
              </w:rPr>
            </w:pPr>
            <w:r>
              <w:rPr>
                <w:rFonts w:hint="eastAsia" w:eastAsia="TimesNewRomanPSMT" w:cs="Times New Roman"/>
                <w:color w:val="000000"/>
                <w:kern w:val="0"/>
                <w:sz w:val="21"/>
                <w:szCs w:val="21"/>
                <w:highlight w:val="none"/>
                <w:lang w:val="en-US" w:eastAsia="zh-CN" w:bidi="ar"/>
              </w:rPr>
              <w:t>拟建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pct"/>
            <w:tcBorders>
              <w:right w:val="single" w:color="auto" w:sz="4" w:space="0"/>
            </w:tcBorders>
            <w:noWrap w:val="0"/>
            <w:vAlign w:val="center"/>
          </w:tcPr>
          <w:p>
            <w:pPr>
              <w:pStyle w:val="6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JK3</w:t>
            </w:r>
          </w:p>
        </w:tc>
        <w:tc>
          <w:tcPr>
            <w:tcW w:w="1110" w:type="pct"/>
            <w:tcBorders>
              <w:right w:val="single" w:color="auto" w:sz="4" w:space="0"/>
            </w:tcBorders>
            <w:noWrap w:val="0"/>
            <w:vAlign w:val="center"/>
          </w:tcPr>
          <w:p>
            <w:pPr>
              <w:keepNext w:val="0"/>
              <w:keepLines w:val="0"/>
              <w:widowControl/>
              <w:suppressLineNumbers w:val="0"/>
              <w:spacing w:line="240" w:lineRule="auto"/>
              <w:jc w:val="center"/>
              <w:rPr>
                <w:rFonts w:hint="default" w:ascii="Times New Roman" w:hAnsi="Times New Roman" w:eastAsia="TimesNewRomanPSMT" w:cs="Times New Roman"/>
                <w:color w:val="000000"/>
                <w:kern w:val="0"/>
                <w:sz w:val="21"/>
                <w:szCs w:val="21"/>
                <w:highlight w:val="none"/>
                <w:lang w:val="en-US" w:eastAsia="zh-CN" w:bidi="ar"/>
              </w:rPr>
            </w:pPr>
            <w:r>
              <w:rPr>
                <w:rFonts w:hint="eastAsia" w:eastAsia="TimesNewRomanPSMT" w:cs="Times New Roman"/>
                <w:color w:val="000000"/>
                <w:kern w:val="0"/>
                <w:sz w:val="21"/>
                <w:szCs w:val="21"/>
                <w:highlight w:val="none"/>
                <w:lang w:val="en-US" w:eastAsia="zh-CN" w:bidi="ar"/>
              </w:rPr>
              <w:t>污染监控</w:t>
            </w:r>
          </w:p>
        </w:tc>
        <w:tc>
          <w:tcPr>
            <w:tcW w:w="1111" w:type="pct"/>
            <w:tcBorders>
              <w:right w:val="single" w:color="auto" w:sz="4" w:space="0"/>
            </w:tcBorders>
            <w:noWrap w:val="0"/>
            <w:vAlign w:val="center"/>
          </w:tcPr>
          <w:p>
            <w:pPr>
              <w:keepNext w:val="0"/>
              <w:keepLines w:val="0"/>
              <w:widowControl/>
              <w:suppressLineNumbers w:val="0"/>
              <w:spacing w:line="240" w:lineRule="auto"/>
              <w:jc w:val="center"/>
              <w:rPr>
                <w:rFonts w:hint="default" w:eastAsia="TimesNewRomanPSMT" w:cs="Times New Roman"/>
                <w:color w:val="000000"/>
                <w:kern w:val="0"/>
                <w:sz w:val="21"/>
                <w:szCs w:val="21"/>
                <w:highlight w:val="none"/>
                <w:lang w:val="en-US" w:eastAsia="zh-CN" w:bidi="ar"/>
              </w:rPr>
            </w:pPr>
            <w:r>
              <w:rPr>
                <w:rFonts w:hint="eastAsia" w:cs="Times New Roman"/>
                <w:color w:val="auto"/>
                <w:sz w:val="21"/>
                <w:szCs w:val="21"/>
                <w:highlight w:val="none"/>
                <w:lang w:val="en-US" w:eastAsia="zh-CN"/>
              </w:rPr>
              <w:t>垃圾贮存处理间东侧</w:t>
            </w:r>
          </w:p>
        </w:tc>
        <w:tc>
          <w:tcPr>
            <w:tcW w:w="1111" w:type="pct"/>
            <w:tcBorders>
              <w:right w:val="single" w:color="auto" w:sz="4" w:space="0"/>
            </w:tcBorders>
            <w:noWrap w:val="0"/>
            <w:vAlign w:val="center"/>
          </w:tcPr>
          <w:p>
            <w:pPr>
              <w:keepNext w:val="0"/>
              <w:keepLines w:val="0"/>
              <w:widowControl/>
              <w:suppressLineNumbers w:val="0"/>
              <w:spacing w:line="240" w:lineRule="auto"/>
              <w:jc w:val="center"/>
              <w:rPr>
                <w:rFonts w:hint="default" w:ascii="Times New Roman" w:hAnsi="Times New Roman" w:eastAsia="TimesNewRomanPSMT" w:cs="Times New Roman"/>
                <w:color w:val="000000"/>
                <w:kern w:val="0"/>
                <w:sz w:val="21"/>
                <w:szCs w:val="21"/>
                <w:highlight w:val="none"/>
                <w:lang w:val="en-US" w:eastAsia="zh-CN" w:bidi="ar"/>
              </w:rPr>
            </w:pPr>
            <w:r>
              <w:rPr>
                <w:rFonts w:hint="eastAsia" w:eastAsia="TimesNewRomanPSMT" w:cs="Times New Roman"/>
                <w:color w:val="000000"/>
                <w:kern w:val="0"/>
                <w:sz w:val="21"/>
                <w:szCs w:val="21"/>
                <w:highlight w:val="none"/>
                <w:lang w:val="en-US" w:eastAsia="zh-CN" w:bidi="ar"/>
              </w:rPr>
              <w:t>潜水含水层</w:t>
            </w:r>
          </w:p>
        </w:tc>
        <w:tc>
          <w:tcPr>
            <w:tcW w:w="1111" w:type="pct"/>
            <w:tcBorders>
              <w:right w:val="single" w:color="auto" w:sz="4" w:space="0"/>
            </w:tcBorders>
            <w:noWrap w:val="0"/>
            <w:vAlign w:val="center"/>
          </w:tcPr>
          <w:p>
            <w:pPr>
              <w:keepNext w:val="0"/>
              <w:keepLines w:val="0"/>
              <w:widowControl/>
              <w:suppressLineNumbers w:val="0"/>
              <w:spacing w:line="240" w:lineRule="auto"/>
              <w:jc w:val="center"/>
              <w:rPr>
                <w:rFonts w:hint="default" w:eastAsia="TimesNewRomanPSMT" w:cs="Times New Roman"/>
                <w:color w:val="000000"/>
                <w:kern w:val="0"/>
                <w:sz w:val="21"/>
                <w:szCs w:val="21"/>
                <w:highlight w:val="none"/>
                <w:lang w:val="en-US" w:eastAsia="zh-CN" w:bidi="ar"/>
              </w:rPr>
            </w:pPr>
            <w:r>
              <w:rPr>
                <w:rFonts w:hint="eastAsia" w:eastAsia="TimesNewRomanPSMT" w:cs="Times New Roman"/>
                <w:color w:val="000000"/>
                <w:kern w:val="0"/>
                <w:sz w:val="21"/>
                <w:szCs w:val="21"/>
                <w:highlight w:val="none"/>
                <w:lang w:val="en-US" w:eastAsia="zh-CN" w:bidi="ar"/>
              </w:rPr>
              <w:t>拟建</w:t>
            </w:r>
          </w:p>
        </w:tc>
      </w:tr>
    </w:tbl>
    <w:p>
      <w:pPr>
        <w:spacing w:line="360" w:lineRule="auto"/>
        <w:jc w:val="center"/>
        <w:rPr>
          <w:rFonts w:hint="eastAsia"/>
          <w:sz w:val="24"/>
        </w:rPr>
      </w:pPr>
      <w:r>
        <w:rPr>
          <w:rFonts w:hint="eastAsia" w:ascii="Times New Roman" w:hAnsi="Times New Roman" w:eastAsia="宋体" w:cs="Times New Roman"/>
          <w:b/>
          <w:color w:val="000000"/>
          <w:kern w:val="0"/>
          <w:sz w:val="24"/>
          <w:szCs w:val="24"/>
          <w:highlight w:val="none"/>
          <w:lang w:val="en-US" w:eastAsia="zh-CN" w:bidi="ar"/>
        </w:rPr>
        <w:drawing>
          <wp:inline distT="0" distB="0" distL="114300" distR="114300">
            <wp:extent cx="5269230" cy="2933065"/>
            <wp:effectExtent l="0" t="0" r="7620" b="635"/>
            <wp:docPr id="61" name="图片 43"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3" descr="123"/>
                    <pic:cNvPicPr>
                      <a:picLocks noChangeAspect="1"/>
                    </pic:cNvPicPr>
                  </pic:nvPicPr>
                  <pic:blipFill>
                    <a:blip r:embed="rId21"/>
                    <a:stretch>
                      <a:fillRect/>
                    </a:stretch>
                  </pic:blipFill>
                  <pic:spPr>
                    <a:xfrm>
                      <a:off x="0" y="0"/>
                      <a:ext cx="5269230" cy="2933065"/>
                    </a:xfrm>
                    <a:prstGeom prst="rect">
                      <a:avLst/>
                    </a:prstGeom>
                    <a:noFill/>
                    <a:ln>
                      <a:noFill/>
                    </a:ln>
                  </pic:spPr>
                </pic:pic>
              </a:graphicData>
            </a:graphic>
          </wp:inline>
        </w:drawing>
      </w:r>
      <w:r>
        <w:rPr>
          <w:rFonts w:hint="eastAsia"/>
          <w:b/>
          <w:szCs w:val="21"/>
        </w:rPr>
        <w:t xml:space="preserve">6.2-5   </w:t>
      </w:r>
      <w:r>
        <w:rPr>
          <w:b/>
          <w:szCs w:val="21"/>
        </w:rPr>
        <w:t xml:space="preserve"> 地下水跟踪监测井示意图</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highlight w:val="none"/>
          <w:lang w:val="en-US"/>
        </w:rPr>
      </w:pPr>
      <w:r>
        <w:rPr>
          <w:rFonts w:hint="default"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TimesNewRomanPSMT" w:cs="Times New Roman"/>
          <w:color w:val="000000"/>
          <w:kern w:val="0"/>
          <w:sz w:val="24"/>
          <w:szCs w:val="24"/>
          <w:highlight w:val="none"/>
          <w:lang w:val="en-US" w:eastAsia="zh-CN" w:bidi="ar"/>
        </w:rPr>
        <w:t>2</w:t>
      </w:r>
      <w:r>
        <w:rPr>
          <w:rFonts w:hint="default" w:ascii="Times New Roman" w:hAnsi="Times New Roman" w:eastAsia="宋体" w:cs="Times New Roman"/>
          <w:color w:val="000000"/>
          <w:kern w:val="0"/>
          <w:sz w:val="24"/>
          <w:szCs w:val="24"/>
          <w:highlight w:val="none"/>
          <w:lang w:val="en-US" w:eastAsia="zh-CN" w:bidi="ar"/>
        </w:rPr>
        <w:t>）监测层位：潜水含水层。建议井深打到潜水面后再向下延伸</w:t>
      </w:r>
      <w:r>
        <w:rPr>
          <w:rFonts w:hint="default" w:ascii="Times New Roman" w:hAnsi="Times New Roman" w:cs="Times New Roman"/>
          <w:color w:val="000000"/>
          <w:kern w:val="0"/>
          <w:sz w:val="24"/>
          <w:szCs w:val="24"/>
          <w:highlight w:val="none"/>
          <w:lang w:val="en-US" w:eastAsia="zh-CN" w:bidi="ar"/>
        </w:rPr>
        <w:t>至少1</w:t>
      </w:r>
      <w:r>
        <w:rPr>
          <w:rFonts w:hint="default" w:ascii="Times New Roman" w:hAnsi="Times New Roman" w:eastAsia="宋体" w:cs="Times New Roman"/>
          <w:color w:val="000000"/>
          <w:kern w:val="0"/>
          <w:sz w:val="24"/>
          <w:szCs w:val="24"/>
          <w:highlight w:val="none"/>
          <w:lang w:val="en-US" w:eastAsia="zh-CN" w:bidi="ar"/>
        </w:rPr>
        <w:t>0m。</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TimesNewRomanPSMT" w:cs="Times New Roman"/>
          <w:color w:val="000000"/>
          <w:kern w:val="0"/>
          <w:sz w:val="24"/>
          <w:szCs w:val="24"/>
          <w:highlight w:val="none"/>
          <w:lang w:val="en-US" w:eastAsia="zh-CN" w:bidi="ar"/>
        </w:rPr>
        <w:t>3</w:t>
      </w:r>
      <w:r>
        <w:rPr>
          <w:rFonts w:hint="default" w:ascii="Times New Roman" w:hAnsi="Times New Roman" w:eastAsia="宋体" w:cs="Times New Roman"/>
          <w:color w:val="000000"/>
          <w:kern w:val="0"/>
          <w:sz w:val="24"/>
          <w:szCs w:val="24"/>
          <w:highlight w:val="none"/>
          <w:lang w:val="en-US" w:eastAsia="zh-CN" w:bidi="ar"/>
        </w:rPr>
        <w:t>）监测频率：每年</w:t>
      </w:r>
      <w:r>
        <w:rPr>
          <w:rFonts w:hint="default" w:ascii="Times New Roman" w:hAnsi="Times New Roman" w:cs="Times New Roman"/>
          <w:color w:val="000000"/>
          <w:kern w:val="0"/>
          <w:sz w:val="24"/>
          <w:szCs w:val="24"/>
          <w:highlight w:val="none"/>
          <w:lang w:val="en-US" w:eastAsia="zh-CN" w:bidi="ar"/>
        </w:rPr>
        <w:t>丰、枯水期各</w:t>
      </w:r>
      <w:r>
        <w:rPr>
          <w:rFonts w:hint="default" w:ascii="Times New Roman" w:hAnsi="Times New Roman" w:eastAsia="宋体" w:cs="Times New Roman"/>
          <w:color w:val="000000"/>
          <w:kern w:val="0"/>
          <w:sz w:val="24"/>
          <w:szCs w:val="24"/>
          <w:highlight w:val="none"/>
          <w:lang w:val="en-US" w:eastAsia="zh-CN" w:bidi="ar"/>
        </w:rPr>
        <w:t>监测一次。</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highlight w:val="none"/>
          <w:lang w:val="en-US"/>
        </w:rPr>
      </w:pPr>
      <w:r>
        <w:rPr>
          <w:rFonts w:hint="default"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TimesNewRomanPSMT" w:cs="Times New Roman"/>
          <w:color w:val="000000"/>
          <w:kern w:val="0"/>
          <w:sz w:val="24"/>
          <w:szCs w:val="24"/>
          <w:highlight w:val="none"/>
          <w:lang w:val="en-US" w:eastAsia="zh-CN" w:bidi="ar"/>
        </w:rPr>
        <w:t>4</w:t>
      </w:r>
      <w:r>
        <w:rPr>
          <w:rFonts w:hint="default" w:ascii="Times New Roman" w:hAnsi="Times New Roman" w:eastAsia="宋体" w:cs="Times New Roman"/>
          <w:color w:val="000000"/>
          <w:kern w:val="0"/>
          <w:sz w:val="24"/>
          <w:szCs w:val="24"/>
          <w:highlight w:val="none"/>
          <w:lang w:val="en-US" w:eastAsia="zh-CN" w:bidi="ar"/>
        </w:rPr>
        <w:t>）监测项目：</w:t>
      </w:r>
      <w:r>
        <w:rPr>
          <w:rFonts w:hint="default" w:ascii="Times New Roman" w:hAnsi="Times New Roman" w:eastAsia="宋体" w:cs="Times New Roman"/>
          <w:color w:val="auto"/>
          <w:sz w:val="24"/>
          <w:szCs w:val="24"/>
          <w:highlight w:val="none"/>
          <w:lang w:val="en-US" w:eastAsia="zh-CN"/>
        </w:rPr>
        <w:t>pH、总硬度、溶解性总固体、耗氧量、氨氮、硝酸盐氮、亚硝酸盐氮、氟化物、铁、锰、总大肠菌群、菌落总数、氯化物、硫酸盐、色度、嗅和味、</w:t>
      </w:r>
      <w:r>
        <w:rPr>
          <w:rFonts w:hint="default" w:ascii="Times New Roman" w:hAnsi="Times New Roman" w:cs="Times New Roman"/>
          <w:color w:val="auto"/>
          <w:sz w:val="24"/>
          <w:szCs w:val="24"/>
          <w:highlight w:val="none"/>
          <w:lang w:val="en-US" w:eastAsia="zh-CN"/>
        </w:rPr>
        <w:t>浑浊度、肉眼可见物</w:t>
      </w:r>
      <w:r>
        <w:rPr>
          <w:rFonts w:hint="default" w:ascii="Times New Roman" w:hAnsi="Times New Roman" w:eastAsia="宋体" w:cs="Times New Roman"/>
          <w:color w:val="000000"/>
          <w:kern w:val="0"/>
          <w:sz w:val="24"/>
          <w:szCs w:val="24"/>
          <w:highlight w:val="none"/>
          <w:lang w:val="en-US" w:eastAsia="zh-CN" w:bidi="ar"/>
        </w:rPr>
        <w:t>。</w:t>
      </w:r>
      <w:r>
        <w:rPr>
          <w:rFonts w:hint="default" w:ascii="Times New Roman" w:hAnsi="Times New Roman" w:cs="Times New Roman"/>
          <w:color w:val="000000"/>
          <w:kern w:val="0"/>
          <w:sz w:val="24"/>
          <w:szCs w:val="24"/>
          <w:highlight w:val="none"/>
          <w:lang w:val="en-US" w:eastAsia="zh-CN" w:bidi="ar"/>
        </w:rPr>
        <w:t>同步监测水位。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监测数据管理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上述监测结果应按项目有关规定及时建立档案，并抄送环境保护行政主管部门，对于常规检测数据应该进行公开，特别是对项目所在区域的居民公开，满足法律中关于知情权的要求。发现污染和水质恶化时，要及时进行处理，开展系统调查，并上报有关部门。</w:t>
      </w:r>
    </w:p>
    <w:p>
      <w:pPr>
        <w:pStyle w:val="61"/>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6</w:t>
      </w:r>
      <w:r>
        <w:rPr>
          <w:rFonts w:hint="default" w:ascii="Times New Roman" w:hAnsi="Times New Roman" w:cs="Times New Roman"/>
          <w:sz w:val="24"/>
          <w:szCs w:val="24"/>
          <w:highlight w:val="none"/>
        </w:rPr>
        <w:t>）地下水监测管理</w:t>
      </w:r>
    </w:p>
    <w:p>
      <w:pPr>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为保证地下水监测有效、有序管理，须制定相关规定、明确职责，采取以下管理措施和技术措施。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a.管理措施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①防止地下水污染管理的职责属于环境保护管理部门的职责之一。建设单位环境保护管理部门指派专人负责防治地下水污染管理工作。</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②建设单位环境保护管理部门应委托具有监测资质的单位负责地下水监测工作，按要求及时分析整理原始资料、监测报告的编写工作。</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③建立地下水监测数据信息管理系统，与厂环境管理系统相联系。</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④根据实际情况，按事故的性质、类型、影响范围、严重后果分等级地制订相应的预案。在制定预案时要根据本厂环境污染事故潜在威胁的情况，认真细  致地考虑各项影响因素，适当的时候组织有关部门、人员进行演练，不断补充完善。</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b.技术措施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①按照《地下水环境监测技术规范》（HJ/T164-2004）要求，及时上报监测数据和有关表格。</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②在日常例行监测中，一旦发现地下水水质监测数据异常，应尽快核查数据，确保数据的正确性，并将核查过的监测数据通告厂安全环保部门，由专人负责对数据进行分析、核实，并密切关注生产设施的运行情况，为防止地下水污染采取措施提供正确的依据。应采取的措施如下：</w:t>
      </w:r>
    </w:p>
    <w:p>
      <w:pPr>
        <w:pStyle w:val="55"/>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了解厂区是否出现异常情况，出现异常情况的装置、原因。加大监测密度，如监测频率由每月（季）一次临时加密为每天一次或更多，连续多天，分析变化动向，周期性地编写地下水动态监测报告，定期对污染区的生产装置进行检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lang w:val="en-US" w:eastAsia="zh-CN"/>
        </w:rPr>
        <w:t>4、</w:t>
      </w:r>
      <w:r>
        <w:rPr>
          <w:rFonts w:hint="default" w:ascii="Times New Roman" w:hAnsi="Times New Roman" w:cs="Times New Roman"/>
          <w:b/>
          <w:bCs/>
          <w:sz w:val="24"/>
          <w:szCs w:val="24"/>
          <w:highlight w:val="none"/>
        </w:rPr>
        <w:t>应急响应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一旦发现地下水污染事故，立即启动应急预案、采取应急措施控制地下水污染，并使污染得到治理。为防止意外外排，污水会对地下水造成污染影响，最大限度避免和减轻地下水污染造成的损失，所以应制定地下水风险事故应急响应预案，为防止事故发生而采取应急措施。预案具体措施如下：</w:t>
      </w:r>
    </w:p>
    <w:p>
      <w:pPr>
        <w:widowControl/>
        <w:wordWrap w:val="0"/>
        <w:spacing w:line="360" w:lineRule="auto"/>
        <w:ind w:firstLine="480" w:firstLineChars="200"/>
        <w:jc w:val="left"/>
        <w:rPr>
          <w:rFonts w:hint="default" w:ascii="Times New Roman" w:hAnsi="Times New Roman" w:cs="Times New Roman"/>
          <w:b/>
          <w:color w:val="000000"/>
          <w:kern w:val="0"/>
          <w:sz w:val="24"/>
          <w:szCs w:val="24"/>
          <w:highlight w:val="none"/>
        </w:rPr>
      </w:pPr>
      <w:r>
        <w:rPr>
          <w:rFonts w:hint="default" w:ascii="Times New Roman" w:hAnsi="Times New Roman" w:cs="Times New Roman"/>
          <w:color w:val="000000"/>
          <w:kern w:val="0"/>
          <w:sz w:val="24"/>
          <w:szCs w:val="24"/>
          <w:highlight w:val="none"/>
        </w:rPr>
        <w:t>①一旦发生地下水污染事故，应立即启动</w:t>
      </w:r>
      <w:r>
        <w:rPr>
          <w:rFonts w:hint="default" w:ascii="Times New Roman" w:hAnsi="Times New Roman" w:cs="Times New Roman"/>
          <w:sz w:val="24"/>
          <w:szCs w:val="24"/>
          <w:highlight w:val="none"/>
        </w:rPr>
        <w:t>应急预案。</w:t>
      </w:r>
    </w:p>
    <w:p>
      <w:pPr>
        <w:widowControl/>
        <w:wordWrap w:val="0"/>
        <w:spacing w:line="360" w:lineRule="auto"/>
        <w:ind w:firstLine="480" w:firstLineChars="200"/>
        <w:jc w:val="left"/>
        <w:rPr>
          <w:rFonts w:hint="default" w:ascii="Times New Roman" w:hAnsi="Times New Roman" w:cs="Times New Roman"/>
          <w:b/>
          <w:color w:val="000000"/>
          <w:kern w:val="0"/>
          <w:sz w:val="24"/>
          <w:szCs w:val="24"/>
          <w:highlight w:val="none"/>
        </w:rPr>
      </w:pPr>
      <w:r>
        <w:rPr>
          <w:rFonts w:hint="default" w:ascii="Times New Roman" w:hAnsi="Times New Roman" w:cs="Times New Roman"/>
          <w:sz w:val="24"/>
          <w:szCs w:val="24"/>
          <w:highlight w:val="none"/>
        </w:rPr>
        <w:t>②查明并切断污染源，在最短时间内清除地表污染物。</w:t>
      </w:r>
    </w:p>
    <w:p>
      <w:pPr>
        <w:widowControl/>
        <w:wordWrap w:val="0"/>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③加密地下水污染监控井的监测频率，并及时进行化验分析。</w:t>
      </w:r>
    </w:p>
    <w:p>
      <w:pPr>
        <w:widowControl/>
        <w:wordWrap w:val="0"/>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④探明地下水污染深度、范围和污染程度。</w:t>
      </w:r>
    </w:p>
    <w:p>
      <w:pPr>
        <w:widowControl/>
        <w:wordWrap w:val="0"/>
        <w:spacing w:line="360" w:lineRule="auto"/>
        <w:ind w:firstLine="480" w:firstLineChars="200"/>
        <w:jc w:val="left"/>
        <w:rPr>
          <w:rFonts w:hint="default" w:ascii="Times New Roman" w:hAnsi="Times New Roman" w:cs="Times New Roman"/>
          <w:b/>
          <w:color w:val="000000"/>
          <w:kern w:val="0"/>
          <w:sz w:val="24"/>
          <w:szCs w:val="24"/>
          <w:highlight w:val="none"/>
        </w:rPr>
      </w:pPr>
      <w:r>
        <w:rPr>
          <w:rFonts w:hint="default" w:ascii="Times New Roman" w:hAnsi="Times New Roman" w:cs="Times New Roman"/>
          <w:sz w:val="24"/>
          <w:szCs w:val="24"/>
          <w:highlight w:val="none"/>
        </w:rPr>
        <w:t>⑤一旦发现监控井地下水受到污染，立即启动应急抽水设施。</w:t>
      </w:r>
    </w:p>
    <w:p>
      <w:pPr>
        <w:widowControl/>
        <w:wordWrap w:val="0"/>
        <w:spacing w:line="360" w:lineRule="auto"/>
        <w:ind w:firstLine="480" w:firstLineChars="200"/>
        <w:jc w:val="left"/>
        <w:rPr>
          <w:rFonts w:hint="default" w:ascii="Times New Roman" w:hAnsi="Times New Roman" w:cs="Times New Roman"/>
          <w:b/>
          <w:color w:val="000000"/>
          <w:kern w:val="0"/>
          <w:sz w:val="24"/>
          <w:szCs w:val="24"/>
          <w:highlight w:val="none"/>
        </w:rPr>
      </w:pPr>
      <w:r>
        <w:rPr>
          <w:rFonts w:hint="default" w:ascii="Times New Roman" w:hAnsi="Times New Roman" w:cs="Times New Roman"/>
          <w:sz w:val="24"/>
          <w:szCs w:val="24"/>
          <w:highlight w:val="none"/>
        </w:rPr>
        <w:t>⑥依据探明的地下水污染情况和污染场地的含水层埋藏分布特征，结合拟采用的</w:t>
      </w:r>
      <w:r>
        <w:rPr>
          <w:rFonts w:hint="default" w:ascii="Times New Roman" w:hAnsi="Times New Roman" w:cs="Times New Roman"/>
          <w:color w:val="000000"/>
          <w:kern w:val="0"/>
          <w:sz w:val="24"/>
          <w:szCs w:val="24"/>
          <w:highlight w:val="none"/>
        </w:rPr>
        <w:t>地下水污染治理技术方法，制定地下水污染治理实施方案。</w:t>
      </w:r>
    </w:p>
    <w:p>
      <w:pPr>
        <w:widowControl/>
        <w:wordWrap w:val="0"/>
        <w:spacing w:line="360" w:lineRule="auto"/>
        <w:ind w:firstLine="480" w:firstLineChars="200"/>
        <w:jc w:val="left"/>
        <w:rPr>
          <w:rFonts w:hint="default" w:ascii="Times New Roman" w:hAnsi="Times New Roman" w:cs="Times New Roman"/>
          <w:b/>
          <w:color w:val="000000"/>
          <w:kern w:val="0"/>
          <w:sz w:val="24"/>
          <w:szCs w:val="24"/>
          <w:highlight w:val="none"/>
        </w:rPr>
      </w:pPr>
      <w:r>
        <w:rPr>
          <w:rFonts w:hint="default" w:ascii="Times New Roman" w:hAnsi="Times New Roman" w:cs="Times New Roman"/>
          <w:sz w:val="24"/>
          <w:szCs w:val="24"/>
          <w:highlight w:val="none"/>
        </w:rPr>
        <w:t>⑦依据实施方案进行施工，抽取被污染的地下水体，并依据各井孔出水情况进行调整。</w:t>
      </w:r>
    </w:p>
    <w:p>
      <w:pPr>
        <w:widowControl/>
        <w:wordWrap w:val="0"/>
        <w:spacing w:line="360" w:lineRule="auto"/>
        <w:ind w:firstLine="480" w:firstLineChars="200"/>
        <w:jc w:val="left"/>
        <w:rPr>
          <w:rFonts w:hint="default" w:ascii="Times New Roman" w:hAnsi="Times New Roman" w:cs="Times New Roman"/>
          <w:b/>
          <w:color w:val="000000"/>
          <w:kern w:val="0"/>
          <w:sz w:val="24"/>
          <w:szCs w:val="24"/>
          <w:highlight w:val="none"/>
        </w:rPr>
      </w:pPr>
      <w:r>
        <w:rPr>
          <w:rFonts w:hint="default" w:ascii="Times New Roman" w:hAnsi="Times New Roman" w:cs="Times New Roman"/>
          <w:sz w:val="24"/>
          <w:szCs w:val="24"/>
          <w:highlight w:val="none"/>
        </w:rPr>
        <w:t>⑧将抽取的地下水进行集中收集处理，并送实验室进行化验分析。</w:t>
      </w:r>
    </w:p>
    <w:p>
      <w:pPr>
        <w:spacing w:line="360" w:lineRule="auto"/>
        <w:ind w:firstLine="480" w:firstLineChars="200"/>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sz w:val="24"/>
          <w:szCs w:val="24"/>
          <w:highlight w:val="none"/>
        </w:rPr>
        <w:t>⑨当地下水中的特征污染物浓度满足地下水功能区划的标准后，逐步停止井点抽水，并进行</w:t>
      </w:r>
      <w:r>
        <w:rPr>
          <w:rFonts w:hint="default" w:ascii="Times New Roman" w:hAnsi="Times New Roman" w:cs="Times New Roman"/>
          <w:color w:val="000000"/>
          <w:kern w:val="0"/>
          <w:sz w:val="24"/>
          <w:szCs w:val="24"/>
          <w:highlight w:val="none"/>
        </w:rPr>
        <w:t>土壤修复治理工作。</w:t>
      </w:r>
    </w:p>
    <w:p>
      <w:pPr>
        <w:pStyle w:val="6"/>
        <w:spacing w:before="0" w:after="0" w:line="360" w:lineRule="auto"/>
        <w:rPr>
          <w:rFonts w:hint="default" w:ascii="Times New Roman" w:hAnsi="Times New Roman" w:cs="Times New Roman"/>
          <w:kern w:val="0"/>
          <w:sz w:val="28"/>
        </w:rPr>
      </w:pPr>
      <w:bookmarkStart w:id="147" w:name="_Toc16610"/>
      <w:bookmarkStart w:id="148" w:name="_Toc19018"/>
      <w:r>
        <w:rPr>
          <w:rFonts w:hint="default" w:ascii="Times New Roman" w:hAnsi="Times New Roman" w:cs="Times New Roman"/>
          <w:kern w:val="0"/>
          <w:sz w:val="28"/>
        </w:rPr>
        <w:t>6.2.3噪声污染防治措施及其可行性分析</w:t>
      </w:r>
      <w:bookmarkEnd w:id="147"/>
      <w:bookmarkEnd w:id="148"/>
    </w:p>
    <w:p>
      <w:pPr>
        <w:pStyle w:val="2"/>
        <w:spacing w:line="360" w:lineRule="auto"/>
        <w:ind w:left="0" w:leftChars="0" w:firstLine="480" w:firstLineChars="200"/>
        <w:rPr>
          <w:rFonts w:hint="eastAsia" w:ascii="宋体" w:hAnsi="宋体" w:cs="宋体"/>
          <w:color w:val="000000"/>
          <w:kern w:val="0"/>
          <w:sz w:val="24"/>
          <w:lang w:bidi="ar"/>
        </w:rPr>
      </w:pPr>
      <w:r>
        <w:rPr>
          <w:rFonts w:hint="eastAsia"/>
          <w:color w:val="000000"/>
          <w:sz w:val="24"/>
        </w:rPr>
        <w:t>本</w:t>
      </w:r>
      <w:r>
        <w:rPr>
          <w:color w:val="000000"/>
          <w:sz w:val="24"/>
        </w:rPr>
        <w:t>项目噪声源主要来源于</w:t>
      </w:r>
      <w:r>
        <w:rPr>
          <w:rFonts w:hint="eastAsia"/>
          <w:color w:val="000000"/>
          <w:sz w:val="24"/>
          <w:lang w:val="en-US" w:eastAsia="zh-CN"/>
        </w:rPr>
        <w:t>高温蒸汽</w:t>
      </w:r>
      <w:r>
        <w:rPr>
          <w:rFonts w:hint="eastAsia"/>
          <w:color w:val="000000"/>
          <w:sz w:val="24"/>
        </w:rPr>
        <w:t>消毒设备、废气收集</w:t>
      </w:r>
      <w:r>
        <w:rPr>
          <w:color w:val="000000"/>
          <w:sz w:val="24"/>
        </w:rPr>
        <w:t>风机、泵类</w:t>
      </w:r>
      <w:r>
        <w:rPr>
          <w:rFonts w:hint="eastAsia"/>
          <w:color w:val="000000"/>
          <w:sz w:val="24"/>
        </w:rPr>
        <w:t>、医废转运车辆</w:t>
      </w:r>
      <w:r>
        <w:rPr>
          <w:color w:val="000000"/>
          <w:sz w:val="24"/>
        </w:rPr>
        <w:t>等</w:t>
      </w:r>
      <w:r>
        <w:rPr>
          <w:color w:val="000000"/>
          <w:sz w:val="24"/>
          <w:szCs w:val="21"/>
        </w:rPr>
        <w:t>，因此应加强噪声治理工作，主要从设备选型、阻隔传播途径和受声者保护三方面入手。</w:t>
      </w:r>
    </w:p>
    <w:p>
      <w:pPr>
        <w:widowControl/>
        <w:spacing w:line="360" w:lineRule="auto"/>
        <w:ind w:firstLine="480" w:firstLineChars="200"/>
        <w:rPr>
          <w:rFonts w:hint="default" w:ascii="Times New Roman" w:hAnsi="Times New Roman" w:cs="Times New Roman"/>
          <w:color w:val="000000"/>
          <w:sz w:val="24"/>
          <w:szCs w:val="21"/>
        </w:rPr>
      </w:pPr>
      <w:r>
        <w:rPr>
          <w:rFonts w:hint="default" w:ascii="Times New Roman" w:hAnsi="Times New Roman" w:cs="Times New Roman"/>
          <w:color w:val="000000"/>
          <w:sz w:val="24"/>
          <w:szCs w:val="21"/>
        </w:rPr>
        <w:t>（1）在满足工艺技术要求的前提下，从设备本身降低噪声值，</w:t>
      </w:r>
      <w:r>
        <w:rPr>
          <w:rFonts w:hint="default" w:ascii="Times New Roman" w:hAnsi="Times New Roman" w:cs="Times New Roman"/>
          <w:bCs/>
          <w:sz w:val="24"/>
        </w:rPr>
        <w:t>应尽可能选择辐射噪声小、振动小的低噪声设备，同时也要选择有可能采取控制对策的设备，提高安装精度，从源头上控制噪声产生的级别；合理安排平面布置，高噪声设备应远离生活管理区，处理中心进口、出口等处设置限速、禁鸣标志</w:t>
      </w:r>
      <w:r>
        <w:rPr>
          <w:rFonts w:hint="default" w:ascii="Times New Roman" w:hAnsi="Times New Roman" w:cs="Times New Roman"/>
          <w:color w:val="000000"/>
          <w:sz w:val="24"/>
          <w:szCs w:val="21"/>
        </w:rPr>
        <w:t>。</w:t>
      </w:r>
    </w:p>
    <w:p>
      <w:pPr>
        <w:widowControl/>
        <w:spacing w:line="360" w:lineRule="auto"/>
        <w:ind w:firstLine="480" w:firstLineChars="200"/>
        <w:rPr>
          <w:rFonts w:hint="default" w:ascii="Times New Roman" w:hAnsi="Times New Roman" w:cs="Times New Roman"/>
          <w:color w:val="000000"/>
          <w:sz w:val="24"/>
          <w:szCs w:val="21"/>
        </w:rPr>
      </w:pPr>
      <w:r>
        <w:rPr>
          <w:rFonts w:hint="default" w:ascii="Times New Roman" w:hAnsi="Times New Roman" w:cs="Times New Roman"/>
          <w:color w:val="000000"/>
          <w:sz w:val="24"/>
          <w:szCs w:val="21"/>
        </w:rPr>
        <w:t>（2）对于风机、水泵等噪声源，安装减振支座，同时将设备置于室内。根据噪声衰减规律分析：经基础减振（减轻振动及不固定配件摆动噪声）及隔声措施噪声衰减可以达到15～20dB(A)。</w:t>
      </w:r>
    </w:p>
    <w:p>
      <w:pPr>
        <w:widowControl/>
        <w:spacing w:line="360" w:lineRule="auto"/>
        <w:ind w:firstLine="480" w:firstLineChars="200"/>
        <w:rPr>
          <w:rFonts w:hint="default" w:ascii="Times New Roman" w:hAnsi="Times New Roman" w:cs="Times New Roman"/>
          <w:color w:val="000000"/>
          <w:sz w:val="24"/>
          <w:szCs w:val="21"/>
        </w:rPr>
      </w:pPr>
      <w:r>
        <w:rPr>
          <w:rFonts w:hint="default" w:ascii="Times New Roman" w:hAnsi="Times New Roman" w:cs="Times New Roman"/>
          <w:color w:val="000000"/>
          <w:sz w:val="24"/>
          <w:szCs w:val="21"/>
        </w:rPr>
        <w:t>（3）在处理中心周围进行绿化，充分利用建筑的边角空隙土地及不规则土地进行绿化。可根据当地实际种植能美化环境、净化空气的树种和花草，不宜种植有毒、有刺、飞絮的植物，其噪声源强可衰减约5dB(A)。</w:t>
      </w:r>
    </w:p>
    <w:p>
      <w:pPr>
        <w:widowControl/>
        <w:spacing w:line="360" w:lineRule="auto"/>
        <w:ind w:firstLine="480" w:firstLineChars="200"/>
        <w:rPr>
          <w:rFonts w:hint="default" w:ascii="Times New Roman" w:hAnsi="Times New Roman" w:cs="Times New Roman"/>
          <w:color w:val="000000"/>
          <w:sz w:val="24"/>
          <w:szCs w:val="21"/>
        </w:rPr>
      </w:pPr>
      <w:r>
        <w:rPr>
          <w:rFonts w:hint="default" w:ascii="Times New Roman" w:hAnsi="Times New Roman" w:cs="Times New Roman"/>
          <w:color w:val="000000"/>
          <w:sz w:val="24"/>
          <w:szCs w:val="21"/>
        </w:rPr>
        <w:t>（4）从总平面布置上，将噪音较大的设备均布置在室内并远离厂界的地方，在工艺合理的前提下，要布局合理。</w:t>
      </w:r>
    </w:p>
    <w:p>
      <w:pPr>
        <w:pStyle w:val="2"/>
        <w:spacing w:line="360" w:lineRule="auto"/>
        <w:ind w:left="0" w:leftChars="0" w:firstLine="480" w:firstLineChars="200"/>
        <w:rPr>
          <w:rFonts w:hint="eastAsia" w:ascii="宋体" w:hAnsi="宋体" w:cs="宋体"/>
          <w:color w:val="000000"/>
          <w:kern w:val="0"/>
          <w:sz w:val="24"/>
          <w:lang w:bidi="ar"/>
        </w:rPr>
      </w:pPr>
      <w:r>
        <w:rPr>
          <w:rFonts w:hint="default" w:ascii="Times New Roman" w:hAnsi="Times New Roman" w:cs="Times New Roman"/>
          <w:color w:val="000000"/>
          <w:sz w:val="24"/>
          <w:szCs w:val="21"/>
        </w:rPr>
        <w:t>通过采取以上降噪、隔声措施可使设备噪声得到有效控制，对周围环境噪声影响可降到最低程度，厂界噪声值符合《工业企业厂界环境噪声排放标准》（GB12348-2008）中2类标准限值。因此，本项目采取的噪声防治措施可行</w:t>
      </w:r>
      <w:r>
        <w:rPr>
          <w:rFonts w:hint="default" w:ascii="Times New Roman" w:hAnsi="Times New Roman" w:cs="Times New Roman"/>
          <w:sz w:val="24"/>
        </w:rPr>
        <w:t>。</w:t>
      </w:r>
    </w:p>
    <w:p>
      <w:pPr>
        <w:pStyle w:val="6"/>
        <w:spacing w:before="0" w:after="0" w:line="360" w:lineRule="auto"/>
        <w:rPr>
          <w:rFonts w:hint="default" w:ascii="Times New Roman" w:hAnsi="Times New Roman" w:cs="Times New Roman"/>
          <w:kern w:val="0"/>
          <w:sz w:val="28"/>
        </w:rPr>
      </w:pPr>
      <w:bookmarkStart w:id="149" w:name="_Toc439257850"/>
      <w:bookmarkStart w:id="150" w:name="_Toc426048343"/>
      <w:bookmarkStart w:id="151" w:name="_Toc304990101"/>
      <w:bookmarkStart w:id="152" w:name="_Toc352168698"/>
      <w:bookmarkStart w:id="153" w:name="_Toc19073"/>
      <w:bookmarkStart w:id="154" w:name="_Toc26782"/>
      <w:r>
        <w:rPr>
          <w:rFonts w:hint="default" w:ascii="Times New Roman" w:hAnsi="Times New Roman" w:cs="Times New Roman"/>
          <w:kern w:val="0"/>
          <w:sz w:val="28"/>
        </w:rPr>
        <w:t>6.2.4固体废物处置措施</w:t>
      </w:r>
      <w:bookmarkEnd w:id="149"/>
      <w:bookmarkEnd w:id="150"/>
      <w:bookmarkEnd w:id="151"/>
      <w:bookmarkEnd w:id="152"/>
      <w:r>
        <w:rPr>
          <w:rFonts w:hint="default" w:ascii="Times New Roman" w:hAnsi="Times New Roman" w:cs="Times New Roman"/>
          <w:kern w:val="0"/>
          <w:sz w:val="28"/>
        </w:rPr>
        <w:t>及其可行性分析</w:t>
      </w:r>
      <w:bookmarkEnd w:id="153"/>
      <w:bookmarkEnd w:id="154"/>
    </w:p>
    <w:p>
      <w:pPr>
        <w:pStyle w:val="28"/>
        <w:rPr>
          <w:rFonts w:hint="default" w:ascii="Times New Roman" w:hAnsi="Times New Roman" w:cs="Times New Roman"/>
        </w:rPr>
      </w:pPr>
      <w:r>
        <w:rPr>
          <w:rFonts w:hint="default" w:ascii="Times New Roman" w:hAnsi="Times New Roman" w:cs="Times New Roman"/>
        </w:rPr>
        <w:t>6.2.4.1固体废物防治措施及其可行性分析</w:t>
      </w:r>
    </w:p>
    <w:p>
      <w:pPr>
        <w:pStyle w:val="2"/>
        <w:spacing w:line="360" w:lineRule="auto"/>
        <w:ind w:left="0" w:leftChars="0" w:firstLine="480" w:firstLineChars="200"/>
        <w:rPr>
          <w:rFonts w:hint="eastAsia" w:ascii="宋体" w:hAnsi="宋体" w:cs="宋体"/>
          <w:color w:val="000000"/>
          <w:kern w:val="0"/>
          <w:sz w:val="24"/>
          <w:lang w:bidi="ar"/>
        </w:rPr>
      </w:pPr>
      <w:r>
        <w:rPr>
          <w:rFonts w:hint="default" w:ascii="Times New Roman" w:hAnsi="Times New Roman" w:cs="Times New Roman"/>
          <w:sz w:val="24"/>
        </w:rPr>
        <w:t>本项目运营期产生的固体废物主要为生活垃圾、</w:t>
      </w:r>
      <w:r>
        <w:rPr>
          <w:rFonts w:hint="eastAsia" w:ascii="Times New Roman" w:hAnsi="Times New Roman" w:cs="Times New Roman"/>
          <w:color w:val="auto"/>
          <w:sz w:val="24"/>
          <w:lang w:val="en-US" w:eastAsia="zh-CN"/>
        </w:rPr>
        <w:t>高温蒸汽</w:t>
      </w:r>
      <w:r>
        <w:rPr>
          <w:rFonts w:hint="default" w:ascii="Times New Roman" w:hAnsi="Times New Roman" w:cs="Times New Roman"/>
          <w:color w:val="auto"/>
          <w:sz w:val="24"/>
        </w:rPr>
        <w:t>消毒系统处理后医疗废物、废活性炭、废UV灯管、污泥、废周转箱及废一次性防护</w:t>
      </w:r>
      <w:r>
        <w:rPr>
          <w:rFonts w:hint="eastAsia" w:ascii="Times New Roman" w:hAnsi="Times New Roman"/>
          <w:color w:val="auto"/>
          <w:sz w:val="24"/>
        </w:rPr>
        <w:t>用品。</w:t>
      </w:r>
    </w:p>
    <w:p>
      <w:pPr>
        <w:pStyle w:val="2"/>
        <w:adjustRightInd w:val="0"/>
        <w:snapToGrid w:val="0"/>
        <w:spacing w:line="360" w:lineRule="auto"/>
        <w:ind w:firstLine="480"/>
        <w:rPr>
          <w:rFonts w:ascii="Times New Roman" w:hAnsi="Times New Roman"/>
          <w:sz w:val="24"/>
        </w:rPr>
      </w:pPr>
      <w:r>
        <w:rPr>
          <w:rFonts w:hint="eastAsia" w:ascii="Times New Roman" w:hAnsi="Times New Roman"/>
          <w:sz w:val="24"/>
        </w:rPr>
        <w:t>（1）生活垃圾S1</w:t>
      </w:r>
    </w:p>
    <w:p>
      <w:pPr>
        <w:pStyle w:val="2"/>
        <w:spacing w:line="360" w:lineRule="auto"/>
        <w:ind w:left="0" w:leftChars="0" w:firstLine="480" w:firstLineChars="200"/>
        <w:rPr>
          <w:rFonts w:hint="eastAsia" w:ascii="宋体" w:hAnsi="宋体" w:cs="宋体"/>
          <w:color w:val="000000"/>
          <w:kern w:val="0"/>
          <w:sz w:val="24"/>
          <w:lang w:bidi="ar"/>
        </w:rPr>
      </w:pPr>
      <w:r>
        <w:rPr>
          <w:rFonts w:hint="eastAsia" w:ascii="Times New Roman" w:hAnsi="Times New Roman"/>
          <w:sz w:val="24"/>
        </w:rPr>
        <w:t>本项目运营期员工生活垃圾集中收集于垃圾箱，转运至项目东侧</w:t>
      </w:r>
      <w:r>
        <w:rPr>
          <w:rFonts w:hint="eastAsia"/>
          <w:sz w:val="24"/>
          <w:lang w:val="en-US" w:eastAsia="zh-CN"/>
        </w:rPr>
        <w:t>阿尔山市</w:t>
      </w:r>
      <w:r>
        <w:rPr>
          <w:rFonts w:hint="eastAsia" w:ascii="Times New Roman" w:hAnsi="Times New Roman"/>
          <w:sz w:val="24"/>
        </w:rPr>
        <w:t>生活垃圾填埋场填埋</w:t>
      </w:r>
      <w:r>
        <w:rPr>
          <w:rFonts w:ascii="Times New Roman" w:hAnsi="Times New Roman"/>
          <w:sz w:val="24"/>
        </w:rPr>
        <w:t>处置</w:t>
      </w:r>
      <w:r>
        <w:rPr>
          <w:rFonts w:hint="eastAsia" w:ascii="Times New Roman" w:hAnsi="Times New Roman"/>
          <w:sz w:val="24"/>
        </w:rPr>
        <w:t>。</w:t>
      </w:r>
    </w:p>
    <w:p>
      <w:pPr>
        <w:numPr>
          <w:ilvl w:val="0"/>
          <w:numId w:val="0"/>
        </w:numPr>
        <w:bidi w:val="0"/>
        <w:spacing w:line="360" w:lineRule="auto"/>
        <w:ind w:leftChars="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 xml:space="preserve">（2）高温蒸汽消毒系统处理后医疗废物S2 </w:t>
      </w:r>
    </w:p>
    <w:p>
      <w:pPr>
        <w:pStyle w:val="2"/>
        <w:spacing w:line="360" w:lineRule="auto"/>
        <w:ind w:left="0" w:leftChars="0" w:firstLine="480" w:firstLineChars="200"/>
        <w:rPr>
          <w:rFonts w:hint="eastAsia" w:ascii="宋体" w:hAnsi="宋体" w:cs="宋体"/>
          <w:color w:val="000000"/>
          <w:kern w:val="0"/>
          <w:sz w:val="24"/>
          <w:lang w:bidi="ar"/>
        </w:rPr>
      </w:pPr>
      <w:r>
        <w:rPr>
          <w:rFonts w:ascii="Times New Roman" w:hAnsi="Times New Roman"/>
          <w:sz w:val="24"/>
        </w:rPr>
        <w:t>按照</w:t>
      </w:r>
      <w:r>
        <w:rPr>
          <w:rFonts w:ascii="Times New Roman" w:hAnsi="Times New Roman"/>
          <w:sz w:val="24"/>
          <w:szCs w:val="24"/>
        </w:rPr>
        <w:t>《国家危险废物名录》（2021年版）附录中危险废物豁免管理清单，感染性废物按照</w:t>
      </w:r>
      <w:r>
        <w:rPr>
          <w:rFonts w:hint="eastAsia"/>
          <w:sz w:val="24"/>
          <w:szCs w:val="24"/>
          <w:lang w:val="en-US" w:eastAsia="zh-CN"/>
        </w:rPr>
        <w:t>《医疗废物高温蒸汽消毒集中处理工程技术规范》（HJ276-2021）</w:t>
      </w:r>
      <w:r>
        <w:rPr>
          <w:rFonts w:ascii="Times New Roman" w:hAnsi="Times New Roman"/>
          <w:sz w:val="24"/>
          <w:szCs w:val="24"/>
        </w:rPr>
        <w:t>进行处理后</w:t>
      </w:r>
      <w:r>
        <w:rPr>
          <w:rFonts w:hint="eastAsia" w:ascii="Times New Roman" w:hAnsi="Times New Roman"/>
          <w:sz w:val="24"/>
          <w:szCs w:val="24"/>
        </w:rPr>
        <w:t>按生活垃圾运输，</w:t>
      </w:r>
      <w:r>
        <w:rPr>
          <w:rFonts w:ascii="Times New Roman" w:hAnsi="Times New Roman"/>
          <w:sz w:val="24"/>
          <w:szCs w:val="24"/>
        </w:rPr>
        <w:t>不按危险废物进行运输</w:t>
      </w:r>
      <w:r>
        <w:rPr>
          <w:rFonts w:hint="eastAsia" w:ascii="Times New Roman" w:hAnsi="Times New Roman"/>
          <w:sz w:val="24"/>
          <w:szCs w:val="24"/>
        </w:rPr>
        <w:t>；处理后进入生活垃圾填埋场填埋或进入生活垃圾焚烧厂焚烧，处置过程不按照危险废物管理。</w:t>
      </w:r>
      <w:r>
        <w:rPr>
          <w:rFonts w:ascii="Times New Roman" w:hAnsi="Times New Roman"/>
          <w:sz w:val="24"/>
        </w:rPr>
        <w:t>本项目经</w:t>
      </w:r>
      <w:r>
        <w:rPr>
          <w:rFonts w:hint="eastAsia"/>
          <w:sz w:val="24"/>
          <w:lang w:val="en-US" w:eastAsia="zh-CN"/>
        </w:rPr>
        <w:t>高温蒸汽</w:t>
      </w:r>
      <w:r>
        <w:rPr>
          <w:rFonts w:ascii="Times New Roman" w:hAnsi="Times New Roman"/>
          <w:sz w:val="24"/>
        </w:rPr>
        <w:t>消毒处理系统处理后医疗废物可直接运至</w:t>
      </w:r>
      <w:r>
        <w:rPr>
          <w:rFonts w:hint="eastAsia"/>
          <w:sz w:val="24"/>
          <w:lang w:val="en-US" w:eastAsia="zh-CN"/>
        </w:rPr>
        <w:t>阿尔山市</w:t>
      </w:r>
      <w:r>
        <w:rPr>
          <w:rFonts w:hint="eastAsia" w:ascii="Times New Roman" w:hAnsi="Times New Roman"/>
          <w:sz w:val="24"/>
        </w:rPr>
        <w:t>生活垃圾填埋场填埋</w:t>
      </w:r>
      <w:r>
        <w:rPr>
          <w:rFonts w:ascii="Times New Roman" w:hAnsi="Times New Roman"/>
          <w:sz w:val="24"/>
        </w:rPr>
        <w:t>处置。</w:t>
      </w:r>
    </w:p>
    <w:p>
      <w:pPr>
        <w:pStyle w:val="2"/>
        <w:adjustRightInd w:val="0"/>
        <w:snapToGrid w:val="0"/>
        <w:spacing w:line="360" w:lineRule="auto"/>
        <w:ind w:firstLine="480"/>
        <w:rPr>
          <w:rFonts w:ascii="Times New Roman" w:hAnsi="Times New Roman"/>
          <w:sz w:val="24"/>
        </w:rPr>
      </w:pPr>
      <w:r>
        <w:rPr>
          <w:rFonts w:hint="eastAsia" w:ascii="Times New Roman" w:hAnsi="Times New Roman"/>
          <w:sz w:val="24"/>
        </w:rPr>
        <w:t>（3）</w:t>
      </w:r>
      <w:r>
        <w:rPr>
          <w:rFonts w:ascii="Times New Roman" w:hAnsi="Times New Roman"/>
          <w:sz w:val="24"/>
        </w:rPr>
        <w:t>废活性炭</w:t>
      </w:r>
      <w:r>
        <w:rPr>
          <w:rFonts w:hint="eastAsia" w:ascii="Times New Roman" w:hAnsi="Times New Roman"/>
          <w:sz w:val="24"/>
        </w:rPr>
        <w:t>S3</w:t>
      </w:r>
    </w:p>
    <w:p>
      <w:pPr>
        <w:pStyle w:val="2"/>
        <w:spacing w:line="360" w:lineRule="auto"/>
        <w:ind w:left="0" w:leftChars="0" w:firstLine="440" w:firstLineChars="200"/>
        <w:rPr>
          <w:rFonts w:hint="eastAsia" w:ascii="宋体" w:hAnsi="宋体" w:cs="宋体"/>
          <w:color w:val="000000"/>
          <w:kern w:val="0"/>
          <w:sz w:val="24"/>
          <w:lang w:bidi="ar"/>
        </w:rPr>
      </w:pPr>
      <w:r>
        <w:rPr>
          <w:rFonts w:hint="default" w:ascii="Times New Roman" w:hAnsi="Times New Roman" w:cs="Times New Roman"/>
          <w:bCs/>
          <w:spacing w:val="-10"/>
          <w:sz w:val="24"/>
        </w:rPr>
        <w:t>项目废气处理过程有废活性炭产生，</w:t>
      </w:r>
      <w:r>
        <w:rPr>
          <w:rFonts w:hint="default" w:ascii="Times New Roman" w:hAnsi="Times New Roman" w:cs="Times New Roman"/>
          <w:snapToGrid w:val="0"/>
          <w:kern w:val="0"/>
          <w:sz w:val="24"/>
        </w:rPr>
        <w:t>根据</w:t>
      </w:r>
      <w:r>
        <w:rPr>
          <w:rFonts w:hint="default" w:ascii="Times New Roman" w:hAnsi="Times New Roman" w:cs="Times New Roman"/>
          <w:sz w:val="24"/>
        </w:rPr>
        <w:t>《国家危险废物名录》（2021年版）（2021年1月1日实施）废活性炭属于其中HW49其他废物非特定行业900-039-49VOCs治理过程产生的废活性炭（不包含餐饮行</w:t>
      </w:r>
      <w:r>
        <w:rPr>
          <w:rFonts w:hint="eastAsia"/>
          <w:sz w:val="24"/>
        </w:rPr>
        <w:t>业油烟治理过程），消毒后暂存厂区危废暂存间内，定期委托有危废资质单位处置</w:t>
      </w:r>
      <w:r>
        <w:rPr>
          <w:sz w:val="24"/>
        </w:rPr>
        <w:t>。</w:t>
      </w:r>
      <w:r>
        <w:rPr>
          <w:rFonts w:hint="eastAsia"/>
          <w:sz w:val="24"/>
        </w:rPr>
        <w:t>建设单位应按照活性炭设备厂家设计参数及要求定期更换活性炭吸附装置内活性炭，并委托第三方加强项目排气筒废气监测频次，保证活性炭按照吸附周期进行更换，确保废气达标排放。本项目固体废物妥善处置，对周边环境影响不大。</w:t>
      </w:r>
    </w:p>
    <w:p>
      <w:pPr>
        <w:pStyle w:val="2"/>
        <w:adjustRightInd w:val="0"/>
        <w:snapToGrid w:val="0"/>
        <w:spacing w:line="360" w:lineRule="auto"/>
        <w:ind w:firstLine="480"/>
        <w:rPr>
          <w:rFonts w:hint="eastAsia" w:ascii="Times New Roman" w:hAnsi="Times New Roman"/>
          <w:color w:val="auto"/>
          <w:sz w:val="24"/>
        </w:rPr>
      </w:pPr>
      <w:r>
        <w:rPr>
          <w:rFonts w:hint="eastAsia" w:ascii="Times New Roman" w:hAnsi="Times New Roman"/>
          <w:color w:val="auto"/>
          <w:sz w:val="24"/>
        </w:rPr>
        <w:t>（</w:t>
      </w:r>
      <w:r>
        <w:rPr>
          <w:rFonts w:hint="eastAsia" w:ascii="Times New Roman" w:hAnsi="Times New Roman"/>
          <w:color w:val="auto"/>
          <w:sz w:val="24"/>
          <w:lang w:val="en-US" w:eastAsia="zh-CN"/>
        </w:rPr>
        <w:t>4</w:t>
      </w:r>
      <w:r>
        <w:rPr>
          <w:rFonts w:hint="eastAsia" w:ascii="Times New Roman" w:hAnsi="Times New Roman"/>
          <w:color w:val="auto"/>
          <w:sz w:val="24"/>
        </w:rPr>
        <w:t>）</w:t>
      </w:r>
      <w:r>
        <w:rPr>
          <w:rFonts w:hint="eastAsia" w:ascii="Times New Roman" w:hAnsi="Times New Roman"/>
          <w:sz w:val="24"/>
        </w:rPr>
        <w:t>废UV灯管S4</w:t>
      </w:r>
    </w:p>
    <w:p>
      <w:pPr>
        <w:pStyle w:val="2"/>
        <w:spacing w:line="360" w:lineRule="auto"/>
        <w:ind w:left="0" w:leftChars="0" w:firstLine="480" w:firstLineChars="200"/>
        <w:rPr>
          <w:rFonts w:hint="eastAsia" w:ascii="宋体" w:hAnsi="宋体" w:cs="宋体"/>
          <w:color w:val="000000"/>
          <w:kern w:val="0"/>
          <w:sz w:val="24"/>
          <w:lang w:bidi="ar"/>
        </w:rPr>
      </w:pPr>
      <w:r>
        <w:rPr>
          <w:sz w:val="24"/>
        </w:rPr>
        <w:t>本项目废气处理使用UV光解设施，UV灯管需要定期更换，废UV灯管属于《国家危险废物名录》（2021年版）中HW</w:t>
      </w:r>
      <w:r>
        <w:rPr>
          <w:rFonts w:hint="eastAsia"/>
          <w:sz w:val="24"/>
        </w:rPr>
        <w:t>29含汞废物</w:t>
      </w:r>
      <w:r>
        <w:rPr>
          <w:sz w:val="24"/>
        </w:rPr>
        <w:t>900-</w:t>
      </w:r>
      <w:r>
        <w:rPr>
          <w:rFonts w:hint="eastAsia"/>
          <w:sz w:val="24"/>
        </w:rPr>
        <w:t>023</w:t>
      </w:r>
      <w:r>
        <w:rPr>
          <w:sz w:val="24"/>
        </w:rPr>
        <w:t>-</w:t>
      </w:r>
      <w:r>
        <w:rPr>
          <w:rFonts w:hint="eastAsia"/>
          <w:sz w:val="24"/>
        </w:rPr>
        <w:t>2</w:t>
      </w:r>
      <w:r>
        <w:rPr>
          <w:sz w:val="24"/>
        </w:rPr>
        <w:t>9</w:t>
      </w:r>
      <w:r>
        <w:rPr>
          <w:rFonts w:hint="eastAsia"/>
          <w:sz w:val="24"/>
        </w:rPr>
        <w:t>生产、销售及使用过程中产生的废含汞荧光灯管及其他废含汞电光源，消毒后暂存厂区危废暂存间内，定期委托有危废资质单位处置</w:t>
      </w:r>
      <w:r>
        <w:rPr>
          <w:sz w:val="24"/>
        </w:rPr>
        <w:t>。</w:t>
      </w:r>
      <w:r>
        <w:rPr>
          <w:rFonts w:hint="eastAsia"/>
          <w:sz w:val="24"/>
        </w:rPr>
        <w:t>本项目固体废物妥善处置，对周边环境影响不大。</w:t>
      </w:r>
    </w:p>
    <w:p>
      <w:pPr>
        <w:pStyle w:val="2"/>
        <w:adjustRightInd w:val="0"/>
        <w:snapToGrid w:val="0"/>
        <w:spacing w:line="360" w:lineRule="auto"/>
        <w:ind w:firstLine="480"/>
        <w:rPr>
          <w:rFonts w:ascii="Times New Roman" w:hAnsi="Times New Roman"/>
          <w:color w:val="auto"/>
          <w:sz w:val="24"/>
        </w:rPr>
      </w:pPr>
      <w:r>
        <w:rPr>
          <w:rFonts w:hint="eastAsia" w:ascii="Times New Roman" w:hAnsi="Times New Roman"/>
          <w:color w:val="auto"/>
          <w:sz w:val="24"/>
        </w:rPr>
        <w:t>（</w:t>
      </w:r>
      <w:r>
        <w:rPr>
          <w:rFonts w:hint="eastAsia" w:ascii="Times New Roman" w:hAnsi="Times New Roman"/>
          <w:color w:val="auto"/>
          <w:sz w:val="24"/>
          <w:lang w:val="en-US" w:eastAsia="zh-CN"/>
        </w:rPr>
        <w:t>5</w:t>
      </w:r>
      <w:r>
        <w:rPr>
          <w:rFonts w:hint="eastAsia" w:ascii="Times New Roman" w:hAnsi="Times New Roman"/>
          <w:color w:val="auto"/>
          <w:sz w:val="24"/>
        </w:rPr>
        <w:t>）</w:t>
      </w:r>
      <w:r>
        <w:rPr>
          <w:rFonts w:ascii="Times New Roman" w:hAnsi="Times New Roman"/>
          <w:color w:val="auto"/>
          <w:sz w:val="24"/>
        </w:rPr>
        <w:t>污水处理设施污泥</w:t>
      </w:r>
      <w:r>
        <w:rPr>
          <w:rFonts w:hint="eastAsia" w:ascii="Times New Roman" w:hAnsi="Times New Roman"/>
          <w:sz w:val="24"/>
        </w:rPr>
        <w:t>S5</w:t>
      </w:r>
    </w:p>
    <w:p>
      <w:pPr>
        <w:pStyle w:val="2"/>
        <w:spacing w:line="360" w:lineRule="auto"/>
        <w:ind w:left="0" w:leftChars="0" w:firstLine="480" w:firstLineChars="200"/>
        <w:rPr>
          <w:rFonts w:hint="eastAsia" w:ascii="宋体" w:hAnsi="宋体" w:cs="宋体"/>
          <w:color w:val="000000"/>
          <w:kern w:val="0"/>
          <w:sz w:val="24"/>
          <w:lang w:bidi="ar"/>
        </w:rPr>
      </w:pPr>
      <w:r>
        <w:rPr>
          <w:rFonts w:ascii="Times New Roman" w:hAnsi="Times New Roman"/>
          <w:color w:val="auto"/>
          <w:sz w:val="24"/>
        </w:rPr>
        <w:t>本项目</w:t>
      </w:r>
      <w:r>
        <w:rPr>
          <w:rFonts w:ascii="Times New Roman" w:hAnsi="Times New Roman"/>
          <w:bCs/>
          <w:color w:val="auto"/>
          <w:sz w:val="24"/>
        </w:rPr>
        <w:t>拟建一套</w:t>
      </w:r>
      <w:r>
        <w:rPr>
          <w:rFonts w:hint="eastAsia" w:ascii="Times New Roman" w:hAnsi="Times New Roman"/>
          <w:bCs/>
          <w:color w:val="auto"/>
          <w:sz w:val="24"/>
        </w:rPr>
        <w:t>“</w:t>
      </w:r>
      <w:r>
        <w:rPr>
          <w:rFonts w:hint="default" w:ascii="Times New Roman" w:hAnsi="Times New Roman" w:cs="Times New Roman"/>
          <w:color w:val="000000"/>
          <w:sz w:val="24"/>
          <w:szCs w:val="24"/>
          <w:lang w:val="en-US" w:eastAsia="zh-CN"/>
        </w:rPr>
        <w:t>格栅+</w:t>
      </w:r>
      <w:r>
        <w:rPr>
          <w:rFonts w:hint="default" w:ascii="Times New Roman" w:hAnsi="Times New Roman" w:cs="Times New Roman"/>
          <w:color w:val="000000"/>
          <w:sz w:val="24"/>
          <w:szCs w:val="24"/>
        </w:rPr>
        <w:t>调节池+</w:t>
      </w:r>
      <w:r>
        <w:rPr>
          <w:rFonts w:hint="default" w:ascii="Times New Roman" w:hAnsi="Times New Roman" w:cs="Times New Roman"/>
          <w:color w:val="000000"/>
          <w:sz w:val="24"/>
          <w:szCs w:val="24"/>
          <w:lang w:val="en-US" w:eastAsia="zh-CN"/>
        </w:rPr>
        <w:t>A</w:t>
      </w:r>
      <w:r>
        <w:rPr>
          <w:rFonts w:hint="default" w:ascii="Times New Roman" w:hAnsi="Times New Roman" w:cs="Times New Roman"/>
          <w:color w:val="000000"/>
          <w:sz w:val="24"/>
          <w:szCs w:val="24"/>
          <w:vertAlign w:val="subscript"/>
          <w:lang w:val="en-US" w:eastAsia="zh-CN"/>
        </w:rPr>
        <w:t>2</w:t>
      </w:r>
      <w:r>
        <w:rPr>
          <w:rFonts w:hint="default" w:ascii="Times New Roman" w:hAnsi="Times New Roman" w:cs="Times New Roman"/>
          <w:color w:val="000000"/>
          <w:sz w:val="24"/>
          <w:szCs w:val="24"/>
          <w:lang w:val="en-US" w:eastAsia="zh-CN"/>
        </w:rPr>
        <w:t>O+</w:t>
      </w:r>
      <w:r>
        <w:rPr>
          <w:rFonts w:hint="default" w:ascii="Times New Roman" w:hAnsi="Times New Roman" w:cs="Times New Roman"/>
          <w:color w:val="000000"/>
          <w:sz w:val="24"/>
          <w:szCs w:val="24"/>
        </w:rPr>
        <w:t>MBR 膜生物反应+消毒</w:t>
      </w:r>
      <w:r>
        <w:rPr>
          <w:rFonts w:hint="eastAsia" w:ascii="Times New Roman" w:hAnsi="Times New Roman"/>
          <w:bCs/>
          <w:color w:val="auto"/>
          <w:sz w:val="24"/>
        </w:rPr>
        <w:t>”</w:t>
      </w:r>
      <w:r>
        <w:rPr>
          <w:rFonts w:ascii="Times New Roman" w:hAnsi="Times New Roman"/>
          <w:bCs/>
          <w:color w:val="auto"/>
          <w:sz w:val="24"/>
        </w:rPr>
        <w:t>处理设备处理本项目产生的废水，</w:t>
      </w:r>
      <w:r>
        <w:rPr>
          <w:rFonts w:ascii="Times New Roman" w:hAnsi="Times New Roman"/>
          <w:color w:val="auto"/>
          <w:sz w:val="24"/>
        </w:rPr>
        <w:t>MBR生化处理设备运行过程中产生污泥，</w:t>
      </w:r>
      <w:r>
        <w:rPr>
          <w:rFonts w:hint="eastAsia" w:ascii="Times New Roman" w:hAnsi="Times New Roman"/>
          <w:color w:val="auto"/>
          <w:sz w:val="24"/>
        </w:rPr>
        <w:t>属于《国家危险废物名录》（2021年版）中HW49其他废物--环境治理业772-006-49采用物理、化学、物理化学或生物方法处理或处置毒性或感染性危险废物过程中产生的废水处理污泥，消毒后暂存厂区危废暂存间内，定期委托有危废资质单位处置。</w:t>
      </w:r>
      <w:r>
        <w:rPr>
          <w:rFonts w:hint="eastAsia"/>
          <w:color w:val="auto"/>
          <w:sz w:val="24"/>
          <w:szCs w:val="24"/>
        </w:rPr>
        <w:t>本项目固体废物妥善处置，对周边环境影响不大。</w:t>
      </w:r>
    </w:p>
    <w:p>
      <w:pPr>
        <w:pStyle w:val="2"/>
        <w:spacing w:line="360" w:lineRule="auto"/>
        <w:ind w:left="0" w:leftChars="0" w:firstLine="480" w:firstLineChars="200"/>
        <w:rPr>
          <w:rFonts w:hint="eastAsia" w:ascii="宋体" w:hAnsi="宋体" w:cs="宋体" w:eastAsiaTheme="minorEastAsia"/>
          <w:color w:val="000000"/>
          <w:kern w:val="0"/>
          <w:sz w:val="24"/>
          <w:lang w:val="en-US" w:eastAsia="zh-CN" w:bidi="ar"/>
        </w:rPr>
      </w:pPr>
      <w:r>
        <w:rPr>
          <w:rFonts w:hint="eastAsia" w:cs="宋体"/>
          <w:color w:val="000000"/>
          <w:kern w:val="0"/>
          <w:sz w:val="24"/>
          <w:lang w:eastAsia="zh-CN" w:bidi="ar"/>
        </w:rPr>
        <w:t>（</w:t>
      </w:r>
      <w:r>
        <w:rPr>
          <w:rFonts w:hint="eastAsia" w:cs="宋体"/>
          <w:color w:val="000000"/>
          <w:kern w:val="0"/>
          <w:sz w:val="24"/>
          <w:lang w:val="en-US" w:eastAsia="zh-CN" w:bidi="ar"/>
        </w:rPr>
        <w:t>6</w:t>
      </w:r>
      <w:r>
        <w:rPr>
          <w:rFonts w:hint="eastAsia" w:cs="宋体"/>
          <w:color w:val="000000"/>
          <w:kern w:val="0"/>
          <w:sz w:val="24"/>
          <w:lang w:eastAsia="zh-CN" w:bidi="ar"/>
        </w:rPr>
        <w:t>）</w:t>
      </w:r>
      <w:r>
        <w:rPr>
          <w:rFonts w:hint="eastAsia"/>
          <w:sz w:val="24"/>
        </w:rPr>
        <w:t>废周转箱及废一次性防护用品S</w:t>
      </w:r>
      <w:r>
        <w:rPr>
          <w:rFonts w:hint="eastAsia"/>
          <w:sz w:val="24"/>
          <w:lang w:val="en-US" w:eastAsia="zh-CN"/>
        </w:rPr>
        <w:t>6</w:t>
      </w:r>
    </w:p>
    <w:p>
      <w:pPr>
        <w:pStyle w:val="2"/>
        <w:spacing w:line="360" w:lineRule="auto"/>
        <w:ind w:left="0" w:leftChars="0" w:firstLine="480" w:firstLineChars="200"/>
        <w:rPr>
          <w:rFonts w:hint="default" w:ascii="宋体" w:hAnsi="宋体" w:cs="宋体" w:eastAsiaTheme="minorEastAsia"/>
          <w:color w:val="000000"/>
          <w:kern w:val="0"/>
          <w:sz w:val="24"/>
          <w:lang w:val="en-US" w:eastAsia="zh-CN" w:bidi="ar"/>
        </w:rPr>
      </w:pPr>
      <w:r>
        <w:rPr>
          <w:rFonts w:hint="eastAsia"/>
          <w:sz w:val="24"/>
        </w:rPr>
        <w:t>项目周转箱使用过程中会有老化、破损现象，员工工作更换一次性防护服等，</w:t>
      </w:r>
      <w:r>
        <w:rPr>
          <w:rFonts w:hint="eastAsia"/>
          <w:kern w:val="0"/>
          <w:sz w:val="24"/>
        </w:rPr>
        <w:t>废周转箱</w:t>
      </w:r>
      <w:r>
        <w:rPr>
          <w:rFonts w:hint="eastAsia"/>
          <w:sz w:val="24"/>
        </w:rPr>
        <w:t>及废一次性防护用品</w:t>
      </w:r>
      <w:r>
        <w:rPr>
          <w:rFonts w:hint="eastAsia"/>
          <w:kern w:val="0"/>
          <w:sz w:val="24"/>
        </w:rPr>
        <w:t>属于</w:t>
      </w:r>
      <w:r>
        <w:rPr>
          <w:sz w:val="24"/>
        </w:rPr>
        <w:t>《国家危险废物名录》（2021年版）中HW49其他废物--</w:t>
      </w:r>
      <w:r>
        <w:rPr>
          <w:rFonts w:hint="eastAsia"/>
          <w:sz w:val="24"/>
        </w:rPr>
        <w:t>非特定行业900</w:t>
      </w:r>
      <w:r>
        <w:rPr>
          <w:sz w:val="24"/>
        </w:rPr>
        <w:t>-</w:t>
      </w:r>
      <w:r>
        <w:rPr>
          <w:rFonts w:hint="eastAsia"/>
          <w:sz w:val="24"/>
        </w:rPr>
        <w:t>041</w:t>
      </w:r>
      <w:r>
        <w:rPr>
          <w:sz w:val="24"/>
        </w:rPr>
        <w:t>-49</w:t>
      </w:r>
      <w:r>
        <w:rPr>
          <w:rFonts w:hint="eastAsia"/>
          <w:sz w:val="24"/>
        </w:rPr>
        <w:t>含有或沾染毒性、感染性危险废物的废弃包装物、容器，</w:t>
      </w:r>
      <w:r>
        <w:rPr>
          <w:rFonts w:hint="eastAsia"/>
          <w:sz w:val="24"/>
          <w:lang w:val="en-US" w:eastAsia="zh-CN"/>
        </w:rPr>
        <w:t>进入本项目医疗废物处置中心</w:t>
      </w:r>
      <w:r>
        <w:rPr>
          <w:rFonts w:ascii="Times New Roman" w:hAnsi="Times New Roman"/>
          <w:sz w:val="24"/>
          <w:szCs w:val="24"/>
        </w:rPr>
        <w:t>按照</w:t>
      </w:r>
      <w:r>
        <w:rPr>
          <w:rFonts w:hint="eastAsia"/>
          <w:sz w:val="24"/>
          <w:szCs w:val="24"/>
          <w:lang w:val="en-US" w:eastAsia="zh-CN"/>
        </w:rPr>
        <w:t>《医疗废物高温蒸汽消毒集中处理工程技术规范》（HJ276-2021）</w:t>
      </w:r>
      <w:r>
        <w:rPr>
          <w:rFonts w:ascii="Times New Roman" w:hAnsi="Times New Roman"/>
          <w:sz w:val="24"/>
          <w:szCs w:val="24"/>
        </w:rPr>
        <w:t>进行处理后</w:t>
      </w:r>
      <w:r>
        <w:rPr>
          <w:rFonts w:hint="eastAsia" w:ascii="Times New Roman" w:hAnsi="Times New Roman"/>
          <w:sz w:val="24"/>
          <w:szCs w:val="24"/>
          <w:lang w:val="en-US" w:eastAsia="zh-CN"/>
        </w:rPr>
        <w:t>一并进入阿尔山市生活垃圾填埋场</w:t>
      </w:r>
      <w:r>
        <w:rPr>
          <w:rFonts w:hint="eastAsia"/>
          <w:sz w:val="24"/>
        </w:rPr>
        <w:t>填埋</w:t>
      </w:r>
      <w:r>
        <w:rPr>
          <w:sz w:val="24"/>
        </w:rPr>
        <w:t>处置</w:t>
      </w:r>
      <w:r>
        <w:rPr>
          <w:rFonts w:hint="eastAsia"/>
          <w:sz w:val="24"/>
        </w:rPr>
        <w:t>。本项目固体废物妥善处置，对周边环境影响不大。</w:t>
      </w:r>
    </w:p>
    <w:p>
      <w:pPr>
        <w:widowControl/>
        <w:spacing w:line="360" w:lineRule="auto"/>
        <w:ind w:firstLine="480" w:firstLineChars="200"/>
        <w:jc w:val="left"/>
        <w:rPr>
          <w:rFonts w:hint="eastAsia" w:ascii="宋体" w:hAnsi="宋体" w:cs="宋体"/>
          <w:kern w:val="0"/>
          <w:sz w:val="24"/>
          <w:lang w:bidi="ar"/>
        </w:rPr>
      </w:pPr>
      <w:r>
        <w:rPr>
          <w:rFonts w:hint="eastAsia" w:ascii="宋体" w:hAnsi="宋体" w:cs="宋体"/>
          <w:kern w:val="0"/>
          <w:sz w:val="24"/>
          <w:lang w:bidi="ar"/>
        </w:rPr>
        <w:t>重点防渗区：处理车间上料</w:t>
      </w:r>
      <w:r>
        <w:rPr>
          <w:rFonts w:hint="eastAsia" w:ascii="宋体" w:hAnsi="宋体" w:cs="宋体"/>
          <w:kern w:val="0"/>
          <w:sz w:val="24"/>
          <w:lang w:val="en-US" w:eastAsia="zh-CN" w:bidi="ar"/>
        </w:rPr>
        <w:t>区</w:t>
      </w:r>
      <w:r>
        <w:rPr>
          <w:rFonts w:hint="eastAsia" w:ascii="宋体" w:hAnsi="宋体" w:cs="宋体"/>
          <w:kern w:val="0"/>
          <w:sz w:val="24"/>
          <w:lang w:bidi="ar"/>
        </w:rPr>
        <w:t>、</w:t>
      </w:r>
      <w:r>
        <w:rPr>
          <w:rFonts w:hint="eastAsia" w:ascii="宋体" w:hAnsi="宋体" w:cs="宋体"/>
          <w:kern w:val="0"/>
          <w:sz w:val="24"/>
          <w:lang w:val="en-US" w:eastAsia="zh-CN" w:bidi="ar"/>
        </w:rPr>
        <w:t>高温蒸汽</w:t>
      </w:r>
      <w:r>
        <w:rPr>
          <w:rFonts w:hint="eastAsia" w:ascii="宋体" w:hAnsi="宋体" w:cs="宋体"/>
          <w:kern w:val="0"/>
          <w:sz w:val="24"/>
          <w:lang w:bidi="ar"/>
        </w:rPr>
        <w:t>处理系统区、污水处理区、周转桶消毒清洗池、洗车间、周转桶晾晒间、冷库、消毒物资</w:t>
      </w:r>
      <w:r>
        <w:rPr>
          <w:rFonts w:hint="eastAsia" w:ascii="宋体" w:hAnsi="宋体" w:cs="宋体"/>
          <w:kern w:val="0"/>
          <w:sz w:val="24"/>
          <w:lang w:val="en-US" w:eastAsia="zh-CN" w:bidi="ar"/>
        </w:rPr>
        <w:t>间</w:t>
      </w:r>
      <w:r>
        <w:rPr>
          <w:rFonts w:hint="eastAsia" w:ascii="宋体" w:hAnsi="宋体" w:cs="宋体"/>
          <w:kern w:val="0"/>
          <w:sz w:val="24"/>
          <w:lang w:bidi="ar"/>
        </w:rPr>
        <w:t>、危废暂存间、化粪池、事故池；一般防渗区：处理车间出料</w:t>
      </w:r>
      <w:r>
        <w:rPr>
          <w:rFonts w:hint="eastAsia" w:ascii="宋体" w:hAnsi="宋体" w:cs="宋体"/>
          <w:kern w:val="0"/>
          <w:sz w:val="24"/>
          <w:lang w:val="en-US" w:eastAsia="zh-CN" w:bidi="ar"/>
        </w:rPr>
        <w:t>区</w:t>
      </w:r>
      <w:r>
        <w:rPr>
          <w:rFonts w:hint="eastAsia" w:ascii="宋体" w:hAnsi="宋体" w:cs="宋体"/>
          <w:kern w:val="0"/>
          <w:sz w:val="24"/>
          <w:lang w:bidi="ar"/>
        </w:rPr>
        <w:t>、消防水池；简单防渗区：配电室、中控室、更衣淋浴间、车库、卫生间、办公生活管理区、厂区道路等。重点防渗区防渗层的防渗性能应达到等效黏土防渗层</w:t>
      </w:r>
      <w:r>
        <w:rPr>
          <w:rFonts w:ascii="TimesNewRomanPSMT" w:hAnsi="TimesNewRomanPSMT" w:eastAsia="TimesNewRomanPSMT" w:cs="TimesNewRomanPSMT"/>
          <w:kern w:val="0"/>
          <w:sz w:val="24"/>
          <w:lang w:bidi="ar"/>
        </w:rPr>
        <w:t>Mb</w:t>
      </w:r>
      <w:r>
        <w:rPr>
          <w:kern w:val="0"/>
          <w:sz w:val="24"/>
          <w:lang w:bidi="ar"/>
        </w:rPr>
        <w:t>≥</w:t>
      </w:r>
      <w:r>
        <w:rPr>
          <w:rFonts w:ascii="TimesNewRomanPSMT" w:hAnsi="TimesNewRomanPSMT" w:eastAsia="TimesNewRomanPSMT" w:cs="TimesNewRomanPSMT"/>
          <w:kern w:val="0"/>
          <w:sz w:val="24"/>
          <w:lang w:bidi="ar"/>
        </w:rPr>
        <w:t>6.0m</w:t>
      </w:r>
      <w:r>
        <w:rPr>
          <w:rFonts w:hint="eastAsia" w:ascii="宋体" w:hAnsi="宋体" w:cs="宋体"/>
          <w:kern w:val="0"/>
          <w:sz w:val="24"/>
          <w:lang w:bidi="ar"/>
        </w:rPr>
        <w:t>，渗透系数</w:t>
      </w:r>
      <w:r>
        <w:rPr>
          <w:rFonts w:ascii="TimesNewRomanPSMT" w:hAnsi="TimesNewRomanPSMT" w:eastAsia="TimesNewRomanPSMT" w:cs="TimesNewRomanPSMT"/>
          <w:kern w:val="0"/>
          <w:sz w:val="24"/>
          <w:lang w:bidi="ar"/>
        </w:rPr>
        <w:t>K</w:t>
      </w:r>
      <w:r>
        <w:rPr>
          <w:kern w:val="0"/>
          <w:sz w:val="24"/>
          <w:lang w:bidi="ar"/>
        </w:rPr>
        <w:t>≤</w:t>
      </w:r>
      <w:r>
        <w:rPr>
          <w:rFonts w:ascii="TimesNewRomanPSMT" w:hAnsi="TimesNewRomanPSMT" w:eastAsia="TimesNewRomanPSMT" w:cs="TimesNewRomanPSMT"/>
          <w:kern w:val="0"/>
          <w:sz w:val="24"/>
          <w:lang w:bidi="ar"/>
        </w:rPr>
        <w:t>1×10</w:t>
      </w:r>
      <w:r>
        <w:rPr>
          <w:rFonts w:hint="eastAsia" w:ascii="TimesNewRomanPSMT" w:hAnsi="TimesNewRomanPSMT" w:eastAsia="TimesNewRomanPSMT" w:cs="TimesNewRomanPSMT"/>
          <w:kern w:val="0"/>
          <w:sz w:val="24"/>
          <w:vertAlign w:val="superscript"/>
          <w:lang w:bidi="ar"/>
        </w:rPr>
        <w:t>-</w:t>
      </w:r>
      <w:r>
        <w:rPr>
          <w:rFonts w:hint="eastAsia" w:ascii="TimesNewRomanPSMT" w:hAnsi="TimesNewRomanPSMT" w:eastAsia="宋体" w:cs="TimesNewRomanPSMT"/>
          <w:kern w:val="0"/>
          <w:sz w:val="24"/>
          <w:vertAlign w:val="superscript"/>
          <w:lang w:val="en-US" w:eastAsia="zh-CN" w:bidi="ar"/>
        </w:rPr>
        <w:t>10</w:t>
      </w:r>
      <w:r>
        <w:rPr>
          <w:rFonts w:ascii="TimesNewRomanPSMT" w:hAnsi="TimesNewRomanPSMT" w:eastAsia="TimesNewRomanPSMT" w:cs="TimesNewRomanPSMT"/>
          <w:kern w:val="0"/>
          <w:sz w:val="24"/>
          <w:lang w:bidi="ar"/>
        </w:rPr>
        <w:t xml:space="preserve">cm/s </w:t>
      </w:r>
      <w:r>
        <w:rPr>
          <w:rFonts w:hint="eastAsia" w:ascii="宋体" w:hAnsi="宋体" w:cs="宋体"/>
          <w:kern w:val="0"/>
          <w:sz w:val="24"/>
          <w:lang w:bidi="ar"/>
        </w:rPr>
        <w:t xml:space="preserve">；一般防渗区的防渗性能应达到等效黏土防渗层 </w:t>
      </w:r>
      <w:r>
        <w:rPr>
          <w:rFonts w:ascii="TimesNewRomanPSMT" w:hAnsi="TimesNewRomanPSMT" w:eastAsia="TimesNewRomanPSMT" w:cs="TimesNewRomanPSMT"/>
          <w:kern w:val="0"/>
          <w:sz w:val="24"/>
          <w:lang w:bidi="ar"/>
        </w:rPr>
        <w:t>Mb</w:t>
      </w:r>
      <w:r>
        <w:rPr>
          <w:kern w:val="0"/>
          <w:sz w:val="24"/>
          <w:lang w:bidi="ar"/>
        </w:rPr>
        <w:t>≥</w:t>
      </w:r>
      <w:r>
        <w:rPr>
          <w:rFonts w:ascii="TimesNewRomanPSMT" w:hAnsi="TimesNewRomanPSMT" w:eastAsia="TimesNewRomanPSMT" w:cs="TimesNewRomanPSMT"/>
          <w:kern w:val="0"/>
          <w:sz w:val="24"/>
          <w:lang w:bidi="ar"/>
        </w:rPr>
        <w:t>1.5m</w:t>
      </w:r>
      <w:r>
        <w:rPr>
          <w:rFonts w:hint="eastAsia" w:ascii="宋体" w:hAnsi="宋体" w:cs="宋体"/>
          <w:kern w:val="0"/>
          <w:sz w:val="24"/>
          <w:lang w:bidi="ar"/>
        </w:rPr>
        <w:t>，渗透系数</w:t>
      </w:r>
      <w:r>
        <w:rPr>
          <w:rFonts w:ascii="TimesNewRomanPSMT" w:hAnsi="TimesNewRomanPSMT" w:eastAsia="TimesNewRomanPSMT" w:cs="TimesNewRomanPSMT"/>
          <w:kern w:val="0"/>
          <w:sz w:val="24"/>
          <w:lang w:bidi="ar"/>
        </w:rPr>
        <w:t>K</w:t>
      </w:r>
      <w:r>
        <w:rPr>
          <w:kern w:val="0"/>
          <w:sz w:val="24"/>
          <w:lang w:bidi="ar"/>
        </w:rPr>
        <w:t>≤</w:t>
      </w:r>
      <w:r>
        <w:rPr>
          <w:rFonts w:ascii="TimesNewRomanPSMT" w:hAnsi="TimesNewRomanPSMT" w:eastAsia="TimesNewRomanPSMT" w:cs="TimesNewRomanPSMT"/>
          <w:kern w:val="0"/>
          <w:sz w:val="24"/>
          <w:lang w:bidi="ar"/>
        </w:rPr>
        <w:t>1×10</w:t>
      </w:r>
      <w:r>
        <w:rPr>
          <w:rFonts w:hint="eastAsia" w:ascii="TimesNewRomanPSMT" w:hAnsi="TimesNewRomanPSMT" w:eastAsia="TimesNewRomanPSMT" w:cs="TimesNewRomanPSMT"/>
          <w:kern w:val="0"/>
          <w:sz w:val="24"/>
          <w:vertAlign w:val="superscript"/>
          <w:lang w:bidi="ar"/>
        </w:rPr>
        <w:t>-7</w:t>
      </w:r>
      <w:r>
        <w:rPr>
          <w:rFonts w:ascii="TimesNewRomanPSMT" w:hAnsi="TimesNewRomanPSMT" w:eastAsia="TimesNewRomanPSMT" w:cs="TimesNewRomanPSMT"/>
          <w:kern w:val="0"/>
          <w:sz w:val="24"/>
          <w:lang w:bidi="ar"/>
        </w:rPr>
        <w:t>cm/s</w:t>
      </w:r>
      <w:r>
        <w:rPr>
          <w:rFonts w:hint="eastAsia" w:ascii="宋体" w:hAnsi="宋体" w:cs="宋体"/>
          <w:kern w:val="0"/>
          <w:sz w:val="23"/>
          <w:szCs w:val="23"/>
          <w:lang w:bidi="ar"/>
        </w:rPr>
        <w:t>；</w:t>
      </w:r>
      <w:r>
        <w:rPr>
          <w:rFonts w:hint="eastAsia" w:ascii="宋体" w:hAnsi="宋体" w:cs="宋体"/>
          <w:kern w:val="0"/>
          <w:sz w:val="24"/>
          <w:lang w:bidi="ar"/>
        </w:rPr>
        <w:t>简单防渗区采用水泥硬化。</w:t>
      </w:r>
    </w:p>
    <w:p>
      <w:pPr>
        <w:pStyle w:val="2"/>
        <w:spacing w:line="360" w:lineRule="auto"/>
        <w:ind w:left="0" w:leftChars="0" w:firstLine="480" w:firstLineChars="200"/>
        <w:rPr>
          <w:rFonts w:hint="eastAsia" w:ascii="宋体" w:hAnsi="宋体" w:cs="宋体"/>
          <w:color w:val="000000"/>
          <w:kern w:val="0"/>
          <w:sz w:val="24"/>
          <w:lang w:bidi="ar"/>
        </w:rPr>
      </w:pPr>
      <w:r>
        <w:rPr>
          <w:sz w:val="24"/>
        </w:rPr>
        <w:t>综上所述，本项目产生的固废均得到了合理的处理处置， 处置措施简单有效，实施方便，工程投资低，对外环境影响较小。</w:t>
      </w:r>
    </w:p>
    <w:p>
      <w:pPr>
        <w:pStyle w:val="28"/>
        <w:rPr>
          <w:rFonts w:hint="eastAsia" w:ascii="Times New Roman" w:hAnsi="Times New Roman"/>
        </w:rPr>
      </w:pPr>
      <w:r>
        <w:rPr>
          <w:rFonts w:hint="eastAsia" w:ascii="Times New Roman" w:hAnsi="Times New Roman"/>
        </w:rPr>
        <w:t>6</w:t>
      </w:r>
      <w:r>
        <w:rPr>
          <w:rFonts w:ascii="Times New Roman" w:hAnsi="Times New Roman"/>
        </w:rPr>
        <w:t>.</w:t>
      </w:r>
      <w:r>
        <w:rPr>
          <w:rFonts w:hint="eastAsia" w:ascii="Times New Roman" w:hAnsi="Times New Roman"/>
        </w:rPr>
        <w:t>2.</w:t>
      </w:r>
      <w:r>
        <w:rPr>
          <w:rFonts w:ascii="Times New Roman" w:hAnsi="Times New Roman"/>
        </w:rPr>
        <w:t>4.</w:t>
      </w:r>
      <w:r>
        <w:rPr>
          <w:rFonts w:hint="eastAsia" w:ascii="Times New Roman" w:hAnsi="Times New Roman"/>
        </w:rPr>
        <w:t>2医疗废物收集、转运、交接污染防治措施</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（1）医废收集</w:t>
      </w:r>
    </w:p>
    <w:p>
      <w:pPr>
        <w:pStyle w:val="2"/>
        <w:spacing w:line="360" w:lineRule="auto"/>
        <w:ind w:left="0" w:leftChars="0" w:firstLine="480" w:firstLineChars="200"/>
        <w:rPr>
          <w:rFonts w:hint="default" w:ascii="Times New Roman" w:hAnsi="Times New Roman" w:cs="Times New Roman"/>
          <w:color w:val="000000"/>
          <w:kern w:val="0"/>
          <w:sz w:val="24"/>
          <w:lang w:bidi="ar"/>
        </w:rPr>
      </w:pPr>
      <w:r>
        <w:rPr>
          <w:rFonts w:hint="default" w:ascii="Times New Roman" w:hAnsi="Times New Roman" w:cs="Times New Roman"/>
          <w:sz w:val="24"/>
        </w:rPr>
        <w:t>本项目感染性、损伤性医</w:t>
      </w:r>
      <w:r>
        <w:rPr>
          <w:rFonts w:hint="default" w:ascii="Times New Roman" w:hAnsi="Times New Roman" w:cs="Times New Roman"/>
          <w:color w:val="auto"/>
          <w:sz w:val="24"/>
        </w:rPr>
        <w:t>疗废物，化学性、药物性</w:t>
      </w:r>
      <w:r>
        <w:rPr>
          <w:rFonts w:hint="default" w:ascii="Times New Roman" w:hAnsi="Times New Roman" w:cs="Times New Roman"/>
          <w:color w:val="auto"/>
          <w:sz w:val="24"/>
          <w:lang w:eastAsia="zh-CN"/>
        </w:rPr>
        <w:t>、病理性</w:t>
      </w:r>
      <w:r>
        <w:rPr>
          <w:rFonts w:hint="default" w:ascii="Times New Roman" w:hAnsi="Times New Roman" w:cs="Times New Roman"/>
          <w:color w:val="auto"/>
          <w:sz w:val="24"/>
        </w:rPr>
        <w:t>医废送至有相关资质的危险废物处理中心处理，人体器官和传染性的动物尸体送至火葬场处理，均由医疗机构自行与最终处置单位签订协议，不属于本环评评价范围。医疗废物在各医疗机构已进行分类，分别放入做好标签分类的周转箱中，由转运车送至本医废处理中心。</w:t>
      </w:r>
    </w:p>
    <w:p>
      <w:pPr>
        <w:pStyle w:val="2"/>
        <w:spacing w:line="360" w:lineRule="auto"/>
        <w:ind w:left="0" w:leftChars="0" w:firstLine="480" w:firstLineChars="200"/>
        <w:rPr>
          <w:rFonts w:hint="default" w:ascii="Times New Roman" w:hAnsi="Times New Roman" w:cs="Times New Roman"/>
          <w:color w:val="000000"/>
          <w:kern w:val="0"/>
          <w:sz w:val="24"/>
          <w:lang w:bidi="ar"/>
        </w:rPr>
      </w:pPr>
      <w:r>
        <w:rPr>
          <w:rFonts w:hint="default" w:ascii="Times New Roman" w:hAnsi="Times New Roman" w:cs="Times New Roman"/>
          <w:sz w:val="24"/>
        </w:rPr>
        <w:t>医疗废物具有毒性、感染性等特点，只有对其进行全程监控，才能达到有效处理，因此医疗废物的收集和运输由处理中心派专用密闭运输车收集运输。收集装置采用特制带盖聚乙烯转运箱，转运箱内衬双层0.8～1mm 厚的塑料袋。转运箱定点放置于各医疗机构的住院部、门诊楼等，并设置医疗废物警示标识，各医院和医疗卫生机构由专人将医疗废物收集倾倒于转运箱内。处理中心每天派专用收集运输车到辖区内各医院或医疗卫生机构收集运输医疗废物，用空转运箱替换装满医疗废物的转运箱，然后由医废转运车运送到处理中心卸料、处理，本项目除设备维护留出5d，其余时间均日产日清，不在项目区冷库暂存。处理中心医废卸料区、冷库、危废暂存间等均按《危险废物贮存污染控制标准》（GB18597-2001）及2013修改单中的相关要求建设。各医院和医疗卫生机构自行按照《医疗废物集中处置技术规范（试行）》的要求设置医疗废物转运箱的贮存库房。</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（2）医废交接</w:t>
      </w:r>
    </w:p>
    <w:p>
      <w:pPr>
        <w:pStyle w:val="2"/>
        <w:spacing w:line="360" w:lineRule="auto"/>
        <w:ind w:left="0" w:leftChars="0" w:firstLine="480" w:firstLineChars="200"/>
        <w:rPr>
          <w:rFonts w:hint="default" w:ascii="Times New Roman" w:hAnsi="Times New Roman" w:cs="Times New Roman"/>
          <w:color w:val="000000"/>
          <w:kern w:val="0"/>
          <w:sz w:val="24"/>
          <w:lang w:bidi="ar"/>
        </w:rPr>
      </w:pPr>
      <w:r>
        <w:rPr>
          <w:rFonts w:hint="default" w:ascii="Times New Roman" w:hAnsi="Times New Roman" w:cs="Times New Roman"/>
          <w:sz w:val="24"/>
        </w:rPr>
        <w:t>医废交接参照《医疗废物集中处置技术规范》（环发〔2003〕206号）的有关规定进行管理。</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①医疗废物运送人员在接受医疗废物时应检查医疗机构是否按照规定进行包装和标示，并盛于周转箱内，不得打开包装袋取出医废。遇到包装破损、没有按照要求装入周转箱中和没有按照要求进行标示等情况时，应要求医疗机构重新包装、标示，否则有权拒收并应向当地环保局报告。</w:t>
      </w:r>
    </w:p>
    <w:p>
      <w:pPr>
        <w:pStyle w:val="2"/>
        <w:spacing w:line="360" w:lineRule="auto"/>
        <w:ind w:left="0" w:leftChars="0" w:firstLine="480" w:firstLineChars="200"/>
        <w:rPr>
          <w:rFonts w:hint="default" w:ascii="Times New Roman" w:hAnsi="Times New Roman" w:cs="Times New Roman"/>
          <w:color w:val="000000"/>
          <w:kern w:val="0"/>
          <w:sz w:val="24"/>
          <w:lang w:bidi="ar"/>
        </w:rPr>
      </w:pPr>
      <w:r>
        <w:rPr>
          <w:rFonts w:hint="default" w:ascii="Times New Roman" w:hAnsi="Times New Roman" w:cs="Times New Roman"/>
          <w:sz w:val="24"/>
        </w:rPr>
        <w:t>②医疗机构交予处置的废物采用转移联单管理。</w:t>
      </w:r>
      <w:r>
        <w:rPr>
          <w:rFonts w:hint="default" w:ascii="Times New Roman" w:hAnsi="Times New Roman" w:cs="Times New Roman"/>
          <w:sz w:val="24"/>
          <w:lang w:val="en-US" w:eastAsia="zh-CN"/>
        </w:rPr>
        <w:t>阿尔山市</w:t>
      </w:r>
      <w:r>
        <w:rPr>
          <w:rFonts w:hint="default" w:ascii="Times New Roman" w:hAnsi="Times New Roman" w:cs="Times New Roman"/>
          <w:sz w:val="24"/>
        </w:rPr>
        <w:t>各医疗废物产生单位和处置单位的日常废物交接采用《危险废物转移管理办法》（部令 第23号），危险废物转移联单应当根据危险废物管理计划中填报的危险废物转移等备案信息填写、运行。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危险废物电子转移联单数据应当在信息系统中至少保存十年。</w:t>
      </w:r>
    </w:p>
    <w:p>
      <w:pPr>
        <w:pStyle w:val="2"/>
        <w:spacing w:line="360" w:lineRule="auto"/>
        <w:ind w:left="0" w:leftChars="0" w:firstLine="480" w:firstLineChars="200"/>
        <w:rPr>
          <w:rFonts w:hint="default" w:ascii="Times New Roman" w:hAnsi="Times New Roman" w:cs="Times New Roman"/>
          <w:color w:val="000000"/>
          <w:kern w:val="0"/>
          <w:sz w:val="24"/>
          <w:lang w:bidi="ar"/>
        </w:rPr>
      </w:pPr>
      <w:r>
        <w:rPr>
          <w:rFonts w:hint="default" w:ascii="Times New Roman" w:hAnsi="Times New Roman" w:cs="Times New Roman"/>
          <w:sz w:val="24"/>
        </w:rPr>
        <w:t>③每车每次运送的医疗废物采用《危险废物转移管理办法》（部令 第23号）管理，一车一卡，由各医疗卫生机构医疗废物管理人员交接时填写并签字。 移出人应当制定危险废物管理计划，明确拟转移危险废物的种类、重量（数量）和流向等信息，建立危险废物管理台账，对转移的危险废物进行计量称重，如实记录、妥善保管转移危险废物的种类、重量（数量）和接受人等相关信息，填写、运行危险废物转移联单，在危险废物转移联单中如实填写移出人、承运人、接受人信息，转移危险废物的种类、重量（数量）、危险特性等信息，以及突发环境事件的防范措施等。承运人核实拟接受的危险废物的种类、重量（数量）、包装、识别标志等相关信息，填写、运行危险废物转移联单，在危险废物转移联单中如实填写是否接受的意见，以及利用、处置方式和接受量等信息，按照国家和地方有关规定和标准，对接受的危险废物进行贮存、利用或者处置。</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（3）医废转运</w:t>
      </w:r>
    </w:p>
    <w:p>
      <w:pPr>
        <w:pStyle w:val="2"/>
        <w:spacing w:line="360" w:lineRule="auto"/>
        <w:ind w:left="0" w:leftChars="0" w:firstLine="480" w:firstLineChars="200"/>
        <w:rPr>
          <w:rFonts w:hint="default" w:ascii="Times New Roman" w:hAnsi="Times New Roman" w:cs="Times New Roman"/>
          <w:color w:val="000000"/>
          <w:kern w:val="0"/>
          <w:sz w:val="24"/>
          <w:lang w:bidi="ar"/>
        </w:rPr>
      </w:pPr>
      <w:r>
        <w:rPr>
          <w:rFonts w:hint="default" w:ascii="Times New Roman" w:hAnsi="Times New Roman" w:cs="Times New Roman"/>
          <w:sz w:val="24"/>
        </w:rPr>
        <w:t>①医疗废物运送应当使用专用车辆。车辆厢体要求和车辆上配备的东西应满足《医疗废物集中处置技术规范》（环发［2003］206号）的相关要求，同时运送车辆应符合《医疗废物转运车技术要求》（GB19217-2003）。</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②医疗废物运送车必须在车辆前、后部及两侧设置专用警示标识，两侧还应喷涂处置单位的名称和车辆编号。</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③医疗废物运送车如需改作其他用途，应经彻底消毒处置，并经生态环境主管部门同意，取消车辆的医疗废物运送车辆编号，按照公安交通管理规定重新办理车辆用途变更手续。</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4 \* GB3 \* MERGEFORMAT </w:instrText>
      </w:r>
      <w:r>
        <w:rPr>
          <w:rFonts w:hint="default" w:ascii="Times New Roman" w:hAnsi="Times New Roman" w:cs="Times New Roman"/>
          <w:sz w:val="24"/>
        </w:rPr>
        <w:fldChar w:fldCharType="separate"/>
      </w:r>
      <w:r>
        <w:rPr>
          <w:rFonts w:hint="default" w:ascii="Times New Roman" w:hAnsi="Times New Roman" w:cs="Times New Roman"/>
        </w:rPr>
        <w:t>④</w:t>
      </w:r>
      <w:r>
        <w:rPr>
          <w:rFonts w:hint="default" w:ascii="Times New Roman" w:hAnsi="Times New Roman" w:cs="Times New Roman"/>
          <w:sz w:val="24"/>
        </w:rPr>
        <w:fldChar w:fldCharType="end"/>
      </w:r>
      <w:r>
        <w:rPr>
          <w:rFonts w:hint="default" w:ascii="Times New Roman" w:hAnsi="Times New Roman" w:cs="Times New Roman"/>
          <w:sz w:val="24"/>
        </w:rPr>
        <w:t>医废处置单位应当根据总体医疗废物处置方案，配备足够数量的运送车辆和备用应急车辆，医废处置单位应为每辆运送车指定负责人，对医废运送过程负责。</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5 \* GB3 \* MERGEFORMAT </w:instrText>
      </w:r>
      <w:r>
        <w:rPr>
          <w:rFonts w:hint="default" w:ascii="Times New Roman" w:hAnsi="Times New Roman" w:cs="Times New Roman"/>
          <w:sz w:val="24"/>
        </w:rPr>
        <w:fldChar w:fldCharType="separate"/>
      </w:r>
      <w:r>
        <w:rPr>
          <w:rFonts w:hint="default" w:ascii="Times New Roman" w:hAnsi="Times New Roman" w:cs="Times New Roman"/>
        </w:rPr>
        <w:t>⑤</w:t>
      </w:r>
      <w:r>
        <w:rPr>
          <w:rFonts w:hint="default" w:ascii="Times New Roman" w:hAnsi="Times New Roman" w:cs="Times New Roman"/>
          <w:sz w:val="24"/>
        </w:rPr>
        <w:fldChar w:fldCharType="end"/>
      </w:r>
      <w:r>
        <w:rPr>
          <w:rFonts w:hint="default" w:ascii="Times New Roman" w:hAnsi="Times New Roman" w:cs="Times New Roman"/>
          <w:sz w:val="24"/>
        </w:rPr>
        <w:t>运送频次：对于有住院病床的医疗卫生机构，处置单位必须每天派车上门收集，做到日产日清；对于确实无法做到日产日清的有住院病床的医疗卫生机构，应将医疗废物低温暂时贮存，暂时贮存温度应低于20℃，时间最长不超过72小时。对于无住院病床的医疗卫生机构，如门诊部、诊所，医废处置单位至少2天收集一次。</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6 \* GB3 \* MERGEFORMAT </w:instrText>
      </w:r>
      <w:r>
        <w:rPr>
          <w:rFonts w:hint="default" w:ascii="Times New Roman" w:hAnsi="Times New Roman" w:cs="Times New Roman"/>
          <w:sz w:val="24"/>
        </w:rPr>
        <w:fldChar w:fldCharType="separate"/>
      </w:r>
      <w:r>
        <w:rPr>
          <w:rFonts w:hint="default" w:ascii="Times New Roman" w:hAnsi="Times New Roman" w:cs="Times New Roman"/>
        </w:rPr>
        <w:t>⑥</w:t>
      </w:r>
      <w:r>
        <w:rPr>
          <w:rFonts w:hint="default" w:ascii="Times New Roman" w:hAnsi="Times New Roman" w:cs="Times New Roman"/>
          <w:sz w:val="24"/>
        </w:rPr>
        <w:fldChar w:fldCharType="end"/>
      </w:r>
      <w:r>
        <w:rPr>
          <w:rFonts w:hint="default" w:ascii="Times New Roman" w:hAnsi="Times New Roman" w:cs="Times New Roman"/>
          <w:sz w:val="24"/>
        </w:rPr>
        <w:t>运送路线：尽量避开地表水及地下水富集区，避开人口密集区域和交通拥堵道路。</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7 \* GB3 \* MERGEFORMAT </w:instrText>
      </w:r>
      <w:r>
        <w:rPr>
          <w:rFonts w:hint="default" w:ascii="Times New Roman" w:hAnsi="Times New Roman" w:cs="Times New Roman"/>
          <w:sz w:val="24"/>
        </w:rPr>
        <w:fldChar w:fldCharType="separate"/>
      </w:r>
      <w:r>
        <w:rPr>
          <w:rFonts w:hint="default" w:ascii="Times New Roman" w:hAnsi="Times New Roman" w:cs="Times New Roman"/>
        </w:rPr>
        <w:t>⑦</w:t>
      </w:r>
      <w:r>
        <w:rPr>
          <w:rFonts w:hint="default" w:ascii="Times New Roman" w:hAnsi="Times New Roman" w:cs="Times New Roman"/>
          <w:sz w:val="24"/>
        </w:rPr>
        <w:fldChar w:fldCharType="end"/>
      </w:r>
      <w:r>
        <w:rPr>
          <w:rFonts w:hint="default" w:ascii="Times New Roman" w:hAnsi="Times New Roman" w:cs="Times New Roman"/>
          <w:sz w:val="24"/>
        </w:rPr>
        <w:t>经包装的医疗废物应盛放于可重复使用的专用周转箱或一次性专用包装容器内。专用周转箱或一次性专用包装容器应符合《医疗废物专用包装物、容器标准和警示标识规定》。</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8 \* GB3 \* MERGEFORMAT </w:instrText>
      </w:r>
      <w:r>
        <w:rPr>
          <w:rFonts w:hint="default" w:ascii="Times New Roman" w:hAnsi="Times New Roman" w:cs="Times New Roman"/>
          <w:sz w:val="24"/>
        </w:rPr>
        <w:fldChar w:fldCharType="separate"/>
      </w:r>
      <w:r>
        <w:rPr>
          <w:rFonts w:hint="default" w:ascii="Times New Roman" w:hAnsi="Times New Roman" w:cs="Times New Roman"/>
        </w:rPr>
        <w:t>⑧</w:t>
      </w:r>
      <w:r>
        <w:rPr>
          <w:rFonts w:hint="default" w:ascii="Times New Roman" w:hAnsi="Times New Roman" w:cs="Times New Roman"/>
          <w:sz w:val="24"/>
        </w:rPr>
        <w:fldChar w:fldCharType="end"/>
      </w:r>
      <w:r>
        <w:rPr>
          <w:rFonts w:hint="default" w:ascii="Times New Roman" w:hAnsi="Times New Roman" w:cs="Times New Roman"/>
          <w:sz w:val="24"/>
        </w:rPr>
        <w:t>医疗废物运送前，处置单位必须对每辆运送车的车况进行检查，确保车况良好后方可出车。医疗废物运送车辆不得搭乘其他无关人员，不得装载或混装其他货物和动植物。车辆行驶时应锁闭车厢门，确保安全，不得丢失、遗撒和打开包装取出医废。</w:t>
      </w:r>
    </w:p>
    <w:p>
      <w:pPr>
        <w:pStyle w:val="2"/>
        <w:spacing w:line="360" w:lineRule="auto"/>
        <w:ind w:left="0" w:leftChars="0" w:firstLine="480" w:firstLineChars="200"/>
        <w:rPr>
          <w:rFonts w:hint="eastAsia" w:ascii="宋体" w:hAnsi="宋体" w:cs="宋体"/>
          <w:color w:val="000000"/>
          <w:kern w:val="0"/>
          <w:sz w:val="24"/>
          <w:lang w:bidi="ar"/>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9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⑨</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本</w:t>
      </w:r>
      <w:r>
        <w:rPr>
          <w:rFonts w:hint="default" w:ascii="Times New Roman" w:hAnsi="Times New Roman" w:cs="Times New Roman"/>
          <w:color w:val="auto"/>
          <w:sz w:val="24"/>
        </w:rPr>
        <w:t>项目设置一套视频监控系统，在车间内进库口、上料口、车间南侧各设置一个监控摄像头，处理中心外墙体上、门口、</w:t>
      </w:r>
      <w:r>
        <w:rPr>
          <w:rFonts w:hint="eastAsia" w:ascii="Times New Roman" w:hAnsi="Times New Roman" w:cs="Times New Roman"/>
          <w:color w:val="auto"/>
          <w:sz w:val="24"/>
          <w:lang w:val="en-US" w:eastAsia="zh-CN"/>
        </w:rPr>
        <w:t>东南</w:t>
      </w:r>
      <w:r>
        <w:rPr>
          <w:rFonts w:hint="default" w:ascii="Times New Roman" w:hAnsi="Times New Roman" w:cs="Times New Roman"/>
          <w:color w:val="auto"/>
          <w:sz w:val="24"/>
        </w:rPr>
        <w:t>角各设施一个监控摄像头。为了确保医疗废物进场后合理处置，要求厂内视频监控系统与当地生态环境部门联网。</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（3）消毒和清洗要求</w:t>
      </w:r>
    </w:p>
    <w:p>
      <w:pPr>
        <w:spacing w:line="360" w:lineRule="auto"/>
        <w:ind w:firstLine="480" w:firstLineChars="200"/>
        <w:rPr>
          <w:rFonts w:hint="eastAsia"/>
          <w:sz w:val="24"/>
        </w:rPr>
      </w:pPr>
      <w:r>
        <w:rPr>
          <w:sz w:val="24"/>
        </w:rPr>
        <w:t>医疗废物处置单位必须设置医疗废物运送车辆清洗场所和污水收集消毒处理设施。具体消毒、清洗方式方法和时间按《医疗废物集中处置技术规范》要求</w:t>
      </w:r>
      <w:r>
        <w:rPr>
          <w:rFonts w:hint="eastAsia"/>
          <w:sz w:val="24"/>
        </w:rPr>
        <w:t>。</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（4）运送人员专业技能要求</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医疗废物处置单位应对运送人员进行有关专业技能和职业卫生防护的培训，并达到如下要求：</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①熟悉有关的环保法律法规，掌握生态环境主管部门制定的医疗废物管理的规章制度；熟知本岗位的职责和理解本规范的重要性；</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②熟悉医疗废物分类与包装标识要求，装卸、搬运医疗废物容器（如包装袋、利器盒等）、周转箱的正确操作程序；</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③在运送途中一旦发生医疗废物外溢、散落等应急情况时，及时采取应急措施，并及时报告。</w:t>
      </w:r>
    </w:p>
    <w:p>
      <w:pPr>
        <w:pStyle w:val="2"/>
        <w:spacing w:line="360" w:lineRule="auto"/>
        <w:ind w:left="0" w:leftChars="0" w:firstLine="480" w:firstLineChars="200"/>
        <w:rPr>
          <w:rFonts w:hint="eastAsia" w:ascii="宋体" w:hAnsi="宋体" w:cs="宋体"/>
          <w:color w:val="000000"/>
          <w:kern w:val="0"/>
          <w:sz w:val="24"/>
          <w:lang w:bidi="ar"/>
        </w:rPr>
      </w:pPr>
      <w:r>
        <w:rPr>
          <w:rFonts w:hint="default" w:ascii="Times New Roman" w:hAnsi="Times New Roman" w:cs="Times New Roman"/>
          <w:sz w:val="24"/>
        </w:rPr>
        <w:t>本项目医疗废物收集、交接、转运、暂存操作过程及设施均要求按照《危险废物贮存污染控制标准》（GB18597-2001）及2013修改单、《医疗废物集中处置技术规范（试行）》、《危险废物转移管理办法》（部令 第23号）、《医疗废物转运车技术要求》及《医疗废物专用包装物、容器标准和警示标识规定》等相关规定要求进行操作和建设</w:t>
      </w:r>
      <w:r>
        <w:rPr>
          <w:rFonts w:hint="eastAsia"/>
          <w:sz w:val="24"/>
        </w:rPr>
        <w:t>。</w:t>
      </w:r>
    </w:p>
    <w:p>
      <w:pPr>
        <w:pStyle w:val="6"/>
        <w:spacing w:before="0" w:after="0" w:line="360" w:lineRule="auto"/>
        <w:rPr>
          <w:rFonts w:hint="default" w:ascii="Times New Roman" w:hAnsi="Times New Roman" w:cs="Times New Roman"/>
          <w:kern w:val="0"/>
          <w:sz w:val="28"/>
        </w:rPr>
      </w:pPr>
      <w:bookmarkStart w:id="155" w:name="_Toc30944"/>
      <w:bookmarkStart w:id="156" w:name="_Toc2263"/>
      <w:r>
        <w:rPr>
          <w:rFonts w:hint="default" w:ascii="Times New Roman" w:hAnsi="Times New Roman" w:cs="Times New Roman"/>
          <w:kern w:val="0"/>
          <w:sz w:val="28"/>
        </w:rPr>
        <w:t>6.2.5生态环境保护措施及其可行性分析</w:t>
      </w:r>
      <w:bookmarkEnd w:id="155"/>
      <w:bookmarkEnd w:id="156"/>
    </w:p>
    <w:p>
      <w:pPr>
        <w:widowControl/>
        <w:spacing w:line="360" w:lineRule="auto"/>
        <w:ind w:firstLine="480" w:firstLineChars="200"/>
        <w:jc w:val="left"/>
        <w:rPr>
          <w:rFonts w:hint="default" w:ascii="Times New Roman" w:hAnsi="Times New Roman" w:cs="Times New Roman"/>
          <w:color w:val="000000"/>
          <w:sz w:val="24"/>
          <w:szCs w:val="21"/>
          <w:highlight w:val="none"/>
        </w:rPr>
      </w:pPr>
      <w:r>
        <w:rPr>
          <w:rFonts w:hint="default" w:ascii="Times New Roman" w:hAnsi="Times New Roman" w:cs="Times New Roman"/>
          <w:color w:val="000000"/>
          <w:sz w:val="24"/>
          <w:szCs w:val="21"/>
          <w:highlight w:val="none"/>
        </w:rPr>
        <w:t>营运期生态环境保护措施，主要为在处理中心及道路两侧种植对</w:t>
      </w:r>
      <w:r>
        <w:rPr>
          <w:rFonts w:hint="default" w:ascii="Times New Roman" w:hAnsi="Times New Roman" w:cs="Times New Roman"/>
          <w:color w:val="000000"/>
          <w:sz w:val="24"/>
          <w:szCs w:val="21"/>
          <w:highlight w:val="none"/>
          <w:lang w:eastAsia="zh-CN"/>
        </w:rPr>
        <w:t>氨、</w:t>
      </w:r>
      <w:r>
        <w:rPr>
          <w:rFonts w:hint="default" w:ascii="Times New Roman" w:hAnsi="Times New Roman" w:cs="Times New Roman"/>
          <w:color w:val="000000"/>
          <w:sz w:val="24"/>
          <w:szCs w:val="21"/>
          <w:highlight w:val="none"/>
        </w:rPr>
        <w:t>硫化氢等有害气体吸收能力较强的树木，如：杨树等乔木树种，降低</w:t>
      </w:r>
      <w:r>
        <w:rPr>
          <w:rFonts w:hint="default" w:ascii="Times New Roman" w:hAnsi="Times New Roman" w:cs="Times New Roman"/>
          <w:color w:val="000000"/>
          <w:sz w:val="24"/>
          <w:szCs w:val="21"/>
          <w:highlight w:val="none"/>
          <w:lang w:eastAsia="zh-CN"/>
        </w:rPr>
        <w:t>废气污染物</w:t>
      </w:r>
      <w:r>
        <w:rPr>
          <w:rFonts w:hint="default" w:ascii="Times New Roman" w:hAnsi="Times New Roman" w:cs="Times New Roman"/>
          <w:color w:val="000000"/>
          <w:sz w:val="24"/>
          <w:szCs w:val="21"/>
          <w:highlight w:val="none"/>
        </w:rPr>
        <w:t>在周围环境中的浓度。</w:t>
      </w:r>
    </w:p>
    <w:p>
      <w:pPr>
        <w:widowControl/>
        <w:spacing w:line="360" w:lineRule="auto"/>
        <w:ind w:firstLine="480" w:firstLineChars="200"/>
        <w:jc w:val="left"/>
        <w:rPr>
          <w:rFonts w:hint="default" w:ascii="Times New Roman" w:hAnsi="Times New Roman" w:cs="Times New Roman"/>
          <w:color w:val="000000"/>
          <w:sz w:val="24"/>
          <w:szCs w:val="21"/>
          <w:highlight w:val="none"/>
        </w:rPr>
      </w:pPr>
      <w:r>
        <w:rPr>
          <w:rFonts w:hint="default" w:ascii="Times New Roman" w:hAnsi="Times New Roman" w:cs="Times New Roman"/>
          <w:color w:val="000000"/>
          <w:sz w:val="24"/>
          <w:szCs w:val="21"/>
          <w:highlight w:val="none"/>
        </w:rPr>
        <w:t>绿色植物，特别是树木，对粉尘也有明显的阻挡、过滤和吸附作用。树木的枝冠能降低风速，使灰尘下降，叶子表面不平，还分泌粘性的油汁和汁浆，能吸附空气中的尘埃。一般情况下，绿化树木能使降尘量减少23-25%；而飘尘量减少37-60%，落叶阔叶树比常绿阔叶树滞尘能力要强。</w:t>
      </w:r>
    </w:p>
    <w:p>
      <w:pPr>
        <w:widowControl/>
        <w:spacing w:line="360" w:lineRule="auto"/>
        <w:ind w:firstLine="480" w:firstLineChars="200"/>
        <w:jc w:val="left"/>
        <w:rPr>
          <w:rFonts w:hint="default" w:ascii="Times New Roman" w:hAnsi="Times New Roman" w:cs="Times New Roman"/>
          <w:color w:val="000000"/>
          <w:sz w:val="24"/>
          <w:szCs w:val="21"/>
          <w:highlight w:val="none"/>
        </w:rPr>
      </w:pPr>
      <w:r>
        <w:rPr>
          <w:rFonts w:hint="default" w:ascii="Times New Roman" w:hAnsi="Times New Roman" w:cs="Times New Roman"/>
          <w:color w:val="000000"/>
          <w:sz w:val="24"/>
          <w:szCs w:val="21"/>
          <w:highlight w:val="none"/>
        </w:rPr>
        <w:t>因此，为了减噪和净化空气，减少异味，保护环境，应在场区内根据不同地段的要求，合理搭配各种植物。在绿化的同时，充分发挥植物净化、降尘、隔噪等效应。</w:t>
      </w:r>
    </w:p>
    <w:p>
      <w:pPr>
        <w:pStyle w:val="2"/>
        <w:spacing w:line="360" w:lineRule="auto"/>
        <w:ind w:left="0" w:leftChars="0" w:firstLine="480" w:firstLineChars="200"/>
        <w:rPr>
          <w:rFonts w:hint="eastAsia" w:ascii="宋体" w:hAnsi="宋体" w:cs="宋体"/>
          <w:color w:val="000000"/>
          <w:kern w:val="0"/>
          <w:sz w:val="24"/>
          <w:lang w:bidi="ar"/>
        </w:rPr>
      </w:pPr>
      <w:r>
        <w:rPr>
          <w:rFonts w:hint="default" w:ascii="Times New Roman" w:hAnsi="Times New Roman" w:cs="Times New Roman"/>
          <w:color w:val="000000"/>
          <w:sz w:val="24"/>
          <w:szCs w:val="21"/>
          <w:highlight w:val="none"/>
        </w:rPr>
        <w:t>项目区绿化对于吸收有害气体，补充新鲜空气，阻隔噪声，保护生态环境，改善工作环境，美化劳动环境，改善小气候等均有着十分重要的作用。项目建成后，场区内栽种适合当地耐寒的植物及树种。采取以上措施后，建设项目对区域生态环境影响很小。</w:t>
      </w:r>
    </w:p>
    <w:p>
      <w:pPr>
        <w:pStyle w:val="6"/>
        <w:spacing w:before="0" w:after="0" w:line="360" w:lineRule="auto"/>
        <w:rPr>
          <w:rFonts w:hint="default" w:ascii="Times New Roman" w:hAnsi="Times New Roman" w:cs="Times New Roman"/>
          <w:kern w:val="0"/>
          <w:sz w:val="28"/>
        </w:rPr>
      </w:pPr>
      <w:bookmarkStart w:id="157" w:name="_Toc13052"/>
      <w:bookmarkStart w:id="158" w:name="_Toc14399"/>
      <w:r>
        <w:rPr>
          <w:rFonts w:hint="default" w:ascii="Times New Roman" w:hAnsi="Times New Roman" w:cs="Times New Roman"/>
          <w:kern w:val="0"/>
          <w:sz w:val="28"/>
        </w:rPr>
        <w:t>6.2.6土壤污染防治措施及其可行性分析</w:t>
      </w:r>
      <w:bookmarkEnd w:id="157"/>
      <w:bookmarkEnd w:id="158"/>
    </w:p>
    <w:p>
      <w:pPr>
        <w:widowControl/>
        <w:spacing w:line="360" w:lineRule="auto"/>
        <w:ind w:firstLine="480" w:firstLineChars="200"/>
        <w:rPr>
          <w:rFonts w:hint="default" w:ascii="Times New Roman" w:hAnsi="Times New Roman" w:cs="Times New Roman"/>
          <w:color w:val="000000"/>
          <w:sz w:val="24"/>
          <w:szCs w:val="21"/>
        </w:rPr>
      </w:pPr>
      <w:bookmarkStart w:id="159" w:name="_Toc14368"/>
      <w:bookmarkStart w:id="160" w:name="_Toc17060"/>
      <w:bookmarkStart w:id="161" w:name="_Toc28995"/>
      <w:bookmarkStart w:id="162" w:name="_Toc6772"/>
      <w:bookmarkStart w:id="163" w:name="_Toc36537202"/>
      <w:bookmarkStart w:id="164" w:name="_Hlk16176061"/>
      <w:r>
        <w:rPr>
          <w:rFonts w:hint="default" w:ascii="Times New Roman" w:hAnsi="Times New Roman" w:cs="Times New Roman"/>
          <w:color w:val="000000"/>
          <w:sz w:val="24"/>
          <w:szCs w:val="21"/>
        </w:rPr>
        <w:t>（1）源头控制措施</w:t>
      </w:r>
      <w:bookmarkEnd w:id="159"/>
      <w:bookmarkEnd w:id="160"/>
      <w:bookmarkEnd w:id="161"/>
      <w:bookmarkEnd w:id="162"/>
      <w:bookmarkEnd w:id="163"/>
    </w:p>
    <w:bookmarkEnd w:id="164"/>
    <w:p>
      <w:pPr>
        <w:widowControl/>
        <w:spacing w:line="360" w:lineRule="auto"/>
        <w:ind w:firstLine="480" w:firstLineChars="200"/>
        <w:rPr>
          <w:rFonts w:hint="default" w:ascii="Times New Roman" w:hAnsi="Times New Roman" w:cs="Times New Roman"/>
          <w:color w:val="000000"/>
          <w:sz w:val="24"/>
          <w:szCs w:val="21"/>
        </w:rPr>
      </w:pPr>
      <w:r>
        <w:rPr>
          <w:rFonts w:hint="default" w:ascii="Times New Roman" w:hAnsi="Times New Roman" w:cs="Times New Roman"/>
          <w:color w:val="000000"/>
          <w:sz w:val="24"/>
          <w:szCs w:val="21"/>
        </w:rPr>
        <w:t>本项目废气达标排放，场区内进行分区防渗，能够有效预防废水和固废等有害物质泄漏污染土壤环境质量，实现了源头污染控制。</w:t>
      </w:r>
    </w:p>
    <w:p>
      <w:pPr>
        <w:widowControl/>
        <w:spacing w:line="360" w:lineRule="auto"/>
        <w:ind w:firstLine="480" w:firstLineChars="200"/>
        <w:rPr>
          <w:rFonts w:hint="default" w:ascii="Times New Roman" w:hAnsi="Times New Roman" w:cs="Times New Roman"/>
          <w:color w:val="000000"/>
          <w:sz w:val="24"/>
          <w:szCs w:val="21"/>
        </w:rPr>
      </w:pPr>
      <w:bookmarkStart w:id="165" w:name="_Toc25364"/>
      <w:bookmarkStart w:id="166" w:name="_Toc32466"/>
      <w:bookmarkStart w:id="167" w:name="_Toc36537203"/>
      <w:bookmarkStart w:id="168" w:name="_Toc13779"/>
      <w:bookmarkStart w:id="169" w:name="_Toc6589"/>
      <w:r>
        <w:rPr>
          <w:rFonts w:hint="default" w:ascii="Times New Roman" w:hAnsi="Times New Roman" w:cs="Times New Roman"/>
          <w:color w:val="000000"/>
          <w:sz w:val="24"/>
          <w:szCs w:val="21"/>
        </w:rPr>
        <w:t>（2）过程防控措施</w:t>
      </w:r>
      <w:bookmarkEnd w:id="165"/>
      <w:bookmarkEnd w:id="166"/>
      <w:bookmarkEnd w:id="167"/>
      <w:bookmarkEnd w:id="168"/>
      <w:bookmarkEnd w:id="169"/>
    </w:p>
    <w:p>
      <w:pPr>
        <w:pStyle w:val="2"/>
        <w:spacing w:line="360" w:lineRule="auto"/>
        <w:ind w:left="0" w:leftChars="0" w:firstLine="480" w:firstLineChars="200"/>
        <w:rPr>
          <w:rFonts w:hint="eastAsia" w:ascii="宋体" w:hAnsi="宋体" w:cs="宋体"/>
          <w:color w:val="000000"/>
          <w:kern w:val="0"/>
          <w:sz w:val="24"/>
          <w:lang w:bidi="ar"/>
        </w:rPr>
      </w:pPr>
      <w:r>
        <w:rPr>
          <w:rFonts w:hint="default" w:ascii="Times New Roman" w:hAnsi="Times New Roman" w:cs="Times New Roman"/>
          <w:color w:val="000000"/>
          <w:sz w:val="24"/>
          <w:szCs w:val="21"/>
        </w:rPr>
        <w:t>根据环境影响分析，本项</w:t>
      </w:r>
      <w:r>
        <w:rPr>
          <w:rFonts w:hint="default" w:ascii="Times New Roman" w:hAnsi="Times New Roman" w:cs="Times New Roman"/>
          <w:color w:val="auto"/>
          <w:sz w:val="24"/>
          <w:szCs w:val="21"/>
        </w:rPr>
        <w:t>目对土壤的影响主要为废水和固体废物渗漏，本项目生产废水经一体化污水处理设施</w:t>
      </w:r>
      <w:r>
        <w:rPr>
          <w:rFonts w:hint="default" w:ascii="Times New Roman" w:hAnsi="Times New Roman" w:cs="Times New Roman"/>
          <w:color w:val="auto"/>
          <w:sz w:val="24"/>
          <w:szCs w:val="24"/>
        </w:rPr>
        <w:t>处理后</w:t>
      </w:r>
      <w:r>
        <w:rPr>
          <w:rFonts w:hint="eastAsia" w:ascii="Times New Roman" w:hAnsi="Times New Roman" w:cs="Times New Roman"/>
          <w:color w:val="auto"/>
          <w:sz w:val="24"/>
          <w:szCs w:val="24"/>
          <w:lang w:val="en-US" w:eastAsia="zh-CN"/>
        </w:rPr>
        <w:t>非供暖季回用绿化，供暖季经罐车拉运至突泉县突泉镇清源污水处理厂处理</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生活污水</w:t>
      </w:r>
      <w:r>
        <w:rPr>
          <w:rFonts w:hint="default" w:ascii="Times New Roman" w:hAnsi="Times New Roman" w:cs="Times New Roman"/>
          <w:color w:val="auto"/>
          <w:kern w:val="0"/>
          <w:sz w:val="24"/>
          <w:szCs w:val="24"/>
          <w:lang w:eastAsia="zh-CN"/>
        </w:rPr>
        <w:t>排入本项目</w:t>
      </w:r>
      <w:r>
        <w:rPr>
          <w:rFonts w:hint="default" w:ascii="Times New Roman" w:hAnsi="Times New Roman" w:cs="Times New Roman"/>
          <w:color w:val="auto"/>
          <w:kern w:val="0"/>
          <w:sz w:val="24"/>
          <w:szCs w:val="24"/>
        </w:rPr>
        <w:t>新建防渗化粪池后</w:t>
      </w:r>
      <w:r>
        <w:rPr>
          <w:rFonts w:hint="eastAsia" w:ascii="Times New Roman" w:hAnsi="Times New Roman" w:cs="Times New Roman"/>
          <w:color w:val="auto"/>
          <w:sz w:val="24"/>
          <w:szCs w:val="24"/>
          <w:lang w:val="en-US" w:eastAsia="zh-CN"/>
        </w:rPr>
        <w:t>定期由吸污车清运至突泉县突泉镇清源污水处理厂处理</w:t>
      </w:r>
      <w:r>
        <w:rPr>
          <w:rFonts w:hint="eastAsia" w:ascii="宋体" w:hAnsi="宋体" w:cs="宋体"/>
          <w:color w:val="auto"/>
          <w:kern w:val="0"/>
          <w:sz w:val="24"/>
          <w:szCs w:val="24"/>
          <w:lang w:eastAsia="zh-CN" w:bidi="ar"/>
        </w:rPr>
        <w:t>。</w:t>
      </w:r>
    </w:p>
    <w:p>
      <w:pPr>
        <w:widowControl/>
        <w:spacing w:line="360" w:lineRule="auto"/>
        <w:ind w:firstLine="480" w:firstLineChars="200"/>
        <w:rPr>
          <w:rFonts w:hint="eastAsia" w:ascii="宋体" w:hAnsi="宋体" w:cs="宋体"/>
          <w:color w:val="auto"/>
          <w:kern w:val="0"/>
          <w:sz w:val="24"/>
          <w:lang w:bidi="ar"/>
        </w:rPr>
      </w:pPr>
      <w:r>
        <w:rPr>
          <w:rFonts w:hint="eastAsia" w:ascii="宋体" w:hAnsi="宋体" w:cs="宋体"/>
          <w:color w:val="auto"/>
          <w:kern w:val="0"/>
          <w:sz w:val="24"/>
          <w:lang w:bidi="ar"/>
        </w:rPr>
        <w:t>重点防渗区：处理车间上料</w:t>
      </w:r>
      <w:r>
        <w:rPr>
          <w:rFonts w:hint="eastAsia" w:ascii="宋体" w:hAnsi="宋体" w:cs="宋体"/>
          <w:color w:val="auto"/>
          <w:kern w:val="0"/>
          <w:sz w:val="24"/>
          <w:lang w:val="en-US" w:eastAsia="zh-CN" w:bidi="ar"/>
        </w:rPr>
        <w:t>区</w:t>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高温蒸汽</w:t>
      </w:r>
      <w:r>
        <w:rPr>
          <w:rFonts w:hint="eastAsia" w:ascii="宋体" w:hAnsi="宋体" w:cs="宋体"/>
          <w:color w:val="auto"/>
          <w:kern w:val="0"/>
          <w:sz w:val="24"/>
          <w:lang w:bidi="ar"/>
        </w:rPr>
        <w:t>处理系统区、污水处理区、周转桶消毒清洗池、洗车间、周转桶晾晒间、冷库、消毒物资</w:t>
      </w:r>
      <w:r>
        <w:rPr>
          <w:rFonts w:hint="eastAsia" w:ascii="宋体" w:hAnsi="宋体" w:cs="宋体"/>
          <w:color w:val="auto"/>
          <w:kern w:val="0"/>
          <w:sz w:val="24"/>
          <w:lang w:val="en-US" w:eastAsia="zh-CN" w:bidi="ar"/>
        </w:rPr>
        <w:t>间</w:t>
      </w:r>
      <w:r>
        <w:rPr>
          <w:rFonts w:hint="eastAsia" w:ascii="宋体" w:hAnsi="宋体" w:cs="宋体"/>
          <w:color w:val="auto"/>
          <w:kern w:val="0"/>
          <w:sz w:val="24"/>
          <w:lang w:bidi="ar"/>
        </w:rPr>
        <w:t>、危废暂存间、化粪池、事故池；一般防渗区：处理车间出料</w:t>
      </w:r>
      <w:r>
        <w:rPr>
          <w:rFonts w:hint="eastAsia" w:ascii="宋体" w:hAnsi="宋体" w:cs="宋体"/>
          <w:color w:val="auto"/>
          <w:kern w:val="0"/>
          <w:sz w:val="24"/>
          <w:lang w:val="en-US" w:eastAsia="zh-CN" w:bidi="ar"/>
        </w:rPr>
        <w:t>区</w:t>
      </w:r>
      <w:r>
        <w:rPr>
          <w:rFonts w:hint="eastAsia" w:ascii="宋体" w:hAnsi="宋体" w:cs="宋体"/>
          <w:color w:val="auto"/>
          <w:kern w:val="0"/>
          <w:sz w:val="24"/>
          <w:lang w:bidi="ar"/>
        </w:rPr>
        <w:t>、消防水池；简单防渗区：配电室、中控室、更衣淋浴间、车库、卫生间、办公生活管理区、厂区道路等。重点防渗区防渗层的防渗性能应达到等效黏土防渗层</w:t>
      </w:r>
      <w:r>
        <w:rPr>
          <w:rFonts w:ascii="TimesNewRomanPSMT" w:hAnsi="TimesNewRomanPSMT" w:eastAsia="TimesNewRomanPSMT" w:cs="TimesNewRomanPSMT"/>
          <w:color w:val="auto"/>
          <w:kern w:val="0"/>
          <w:sz w:val="24"/>
          <w:lang w:bidi="ar"/>
        </w:rPr>
        <w:t>Mb</w:t>
      </w:r>
      <w:r>
        <w:rPr>
          <w:color w:val="auto"/>
          <w:kern w:val="0"/>
          <w:sz w:val="24"/>
          <w:lang w:bidi="ar"/>
        </w:rPr>
        <w:t>≥</w:t>
      </w:r>
      <w:r>
        <w:rPr>
          <w:rFonts w:ascii="TimesNewRomanPSMT" w:hAnsi="TimesNewRomanPSMT" w:eastAsia="TimesNewRomanPSMT" w:cs="TimesNewRomanPSMT"/>
          <w:color w:val="auto"/>
          <w:kern w:val="0"/>
          <w:sz w:val="24"/>
          <w:lang w:bidi="ar"/>
        </w:rPr>
        <w:t>6.0m</w:t>
      </w:r>
      <w:r>
        <w:rPr>
          <w:rFonts w:hint="eastAsia" w:ascii="宋体" w:hAnsi="宋体" w:cs="宋体"/>
          <w:color w:val="auto"/>
          <w:kern w:val="0"/>
          <w:sz w:val="24"/>
          <w:lang w:bidi="ar"/>
        </w:rPr>
        <w:t>，渗透系数</w:t>
      </w:r>
      <w:r>
        <w:rPr>
          <w:rFonts w:ascii="TimesNewRomanPSMT" w:hAnsi="TimesNewRomanPSMT" w:eastAsia="TimesNewRomanPSMT" w:cs="TimesNewRomanPSMT"/>
          <w:color w:val="auto"/>
          <w:kern w:val="0"/>
          <w:sz w:val="24"/>
          <w:lang w:bidi="ar"/>
        </w:rPr>
        <w:t>K</w:t>
      </w:r>
      <w:r>
        <w:rPr>
          <w:color w:val="auto"/>
          <w:kern w:val="0"/>
          <w:sz w:val="24"/>
          <w:lang w:bidi="ar"/>
        </w:rPr>
        <w:t>≤</w:t>
      </w:r>
      <w:r>
        <w:rPr>
          <w:rFonts w:ascii="TimesNewRomanPSMT" w:hAnsi="TimesNewRomanPSMT" w:eastAsia="TimesNewRomanPSMT" w:cs="TimesNewRomanPSMT"/>
          <w:color w:val="auto"/>
          <w:kern w:val="0"/>
          <w:sz w:val="24"/>
          <w:lang w:bidi="ar"/>
        </w:rPr>
        <w:t>1×10</w:t>
      </w:r>
      <w:r>
        <w:rPr>
          <w:rFonts w:hint="eastAsia" w:ascii="TimesNewRomanPSMT" w:hAnsi="TimesNewRomanPSMT" w:eastAsia="TimesNewRomanPSMT" w:cs="TimesNewRomanPSMT"/>
          <w:color w:val="auto"/>
          <w:kern w:val="0"/>
          <w:sz w:val="24"/>
          <w:vertAlign w:val="superscript"/>
          <w:lang w:bidi="ar"/>
        </w:rPr>
        <w:t>-</w:t>
      </w:r>
      <w:r>
        <w:rPr>
          <w:rFonts w:hint="eastAsia" w:ascii="TimesNewRomanPSMT" w:hAnsi="TimesNewRomanPSMT" w:eastAsia="宋体" w:cs="TimesNewRomanPSMT"/>
          <w:color w:val="auto"/>
          <w:kern w:val="0"/>
          <w:sz w:val="24"/>
          <w:vertAlign w:val="superscript"/>
          <w:lang w:val="en-US" w:eastAsia="zh-CN" w:bidi="ar"/>
        </w:rPr>
        <w:t>10</w:t>
      </w:r>
      <w:r>
        <w:rPr>
          <w:rFonts w:ascii="TimesNewRomanPSMT" w:hAnsi="TimesNewRomanPSMT" w:eastAsia="TimesNewRomanPSMT" w:cs="TimesNewRomanPSMT"/>
          <w:color w:val="auto"/>
          <w:kern w:val="0"/>
          <w:sz w:val="24"/>
          <w:lang w:bidi="ar"/>
        </w:rPr>
        <w:t xml:space="preserve">cm/s </w:t>
      </w:r>
      <w:r>
        <w:rPr>
          <w:rFonts w:hint="eastAsia" w:ascii="宋体" w:hAnsi="宋体" w:cs="宋体"/>
          <w:color w:val="auto"/>
          <w:kern w:val="0"/>
          <w:sz w:val="24"/>
          <w:lang w:bidi="ar"/>
        </w:rPr>
        <w:t xml:space="preserve">；一般防渗区的防渗性能应达到等效黏土防渗层 </w:t>
      </w:r>
      <w:r>
        <w:rPr>
          <w:rFonts w:ascii="TimesNewRomanPSMT" w:hAnsi="TimesNewRomanPSMT" w:eastAsia="TimesNewRomanPSMT" w:cs="TimesNewRomanPSMT"/>
          <w:color w:val="auto"/>
          <w:kern w:val="0"/>
          <w:sz w:val="24"/>
          <w:lang w:bidi="ar"/>
        </w:rPr>
        <w:t>Mb</w:t>
      </w:r>
      <w:r>
        <w:rPr>
          <w:color w:val="auto"/>
          <w:kern w:val="0"/>
          <w:sz w:val="24"/>
          <w:lang w:bidi="ar"/>
        </w:rPr>
        <w:t>≥</w:t>
      </w:r>
      <w:r>
        <w:rPr>
          <w:rFonts w:ascii="TimesNewRomanPSMT" w:hAnsi="TimesNewRomanPSMT" w:eastAsia="TimesNewRomanPSMT" w:cs="TimesNewRomanPSMT"/>
          <w:color w:val="auto"/>
          <w:kern w:val="0"/>
          <w:sz w:val="24"/>
          <w:lang w:bidi="ar"/>
        </w:rPr>
        <w:t>1.5m</w:t>
      </w:r>
      <w:r>
        <w:rPr>
          <w:rFonts w:hint="eastAsia" w:ascii="宋体" w:hAnsi="宋体" w:cs="宋体"/>
          <w:color w:val="auto"/>
          <w:kern w:val="0"/>
          <w:sz w:val="24"/>
          <w:lang w:bidi="ar"/>
        </w:rPr>
        <w:t>，渗透系数</w:t>
      </w:r>
      <w:r>
        <w:rPr>
          <w:rFonts w:ascii="TimesNewRomanPSMT" w:hAnsi="TimesNewRomanPSMT" w:eastAsia="TimesNewRomanPSMT" w:cs="TimesNewRomanPSMT"/>
          <w:color w:val="auto"/>
          <w:kern w:val="0"/>
          <w:sz w:val="24"/>
          <w:lang w:bidi="ar"/>
        </w:rPr>
        <w:t>K</w:t>
      </w:r>
      <w:r>
        <w:rPr>
          <w:color w:val="auto"/>
          <w:kern w:val="0"/>
          <w:sz w:val="24"/>
          <w:lang w:bidi="ar"/>
        </w:rPr>
        <w:t>≤</w:t>
      </w:r>
      <w:r>
        <w:rPr>
          <w:rFonts w:ascii="TimesNewRomanPSMT" w:hAnsi="TimesNewRomanPSMT" w:eastAsia="TimesNewRomanPSMT" w:cs="TimesNewRomanPSMT"/>
          <w:color w:val="auto"/>
          <w:kern w:val="0"/>
          <w:sz w:val="24"/>
          <w:lang w:bidi="ar"/>
        </w:rPr>
        <w:t>1×10</w:t>
      </w:r>
      <w:r>
        <w:rPr>
          <w:rFonts w:hint="eastAsia" w:ascii="TimesNewRomanPSMT" w:hAnsi="TimesNewRomanPSMT" w:eastAsia="TimesNewRomanPSMT" w:cs="TimesNewRomanPSMT"/>
          <w:color w:val="auto"/>
          <w:kern w:val="0"/>
          <w:sz w:val="24"/>
          <w:vertAlign w:val="superscript"/>
          <w:lang w:bidi="ar"/>
        </w:rPr>
        <w:t>-7</w:t>
      </w:r>
      <w:r>
        <w:rPr>
          <w:rFonts w:ascii="TimesNewRomanPSMT" w:hAnsi="TimesNewRomanPSMT" w:eastAsia="TimesNewRomanPSMT" w:cs="TimesNewRomanPSMT"/>
          <w:color w:val="auto"/>
          <w:kern w:val="0"/>
          <w:sz w:val="24"/>
          <w:lang w:bidi="ar"/>
        </w:rPr>
        <w:t>cm/s</w:t>
      </w:r>
      <w:r>
        <w:rPr>
          <w:rFonts w:hint="eastAsia" w:ascii="宋体" w:hAnsi="宋体" w:cs="宋体"/>
          <w:color w:val="auto"/>
          <w:kern w:val="0"/>
          <w:sz w:val="23"/>
          <w:szCs w:val="23"/>
          <w:lang w:bidi="ar"/>
        </w:rPr>
        <w:t>；</w:t>
      </w:r>
      <w:r>
        <w:rPr>
          <w:rFonts w:hint="eastAsia" w:ascii="宋体" w:hAnsi="宋体" w:cs="宋体"/>
          <w:color w:val="auto"/>
          <w:kern w:val="0"/>
          <w:sz w:val="24"/>
          <w:lang w:bidi="ar"/>
        </w:rPr>
        <w:t>简单防渗区采用水泥硬化。</w:t>
      </w:r>
    </w:p>
    <w:p>
      <w:pPr>
        <w:pStyle w:val="2"/>
        <w:spacing w:line="360" w:lineRule="auto"/>
        <w:ind w:left="0" w:leftChars="0" w:firstLine="480" w:firstLineChars="200"/>
        <w:rPr>
          <w:rFonts w:hint="eastAsia" w:ascii="宋体" w:hAnsi="宋体" w:cs="宋体"/>
          <w:color w:val="000000"/>
          <w:kern w:val="0"/>
          <w:sz w:val="24"/>
          <w:lang w:bidi="ar"/>
        </w:rPr>
      </w:pPr>
      <w:r>
        <w:rPr>
          <w:rFonts w:hint="eastAsia"/>
          <w:color w:val="000000"/>
          <w:sz w:val="24"/>
          <w:szCs w:val="21"/>
        </w:rPr>
        <w:t>经过处理后，废水和固废不会</w:t>
      </w:r>
      <w:r>
        <w:rPr>
          <w:color w:val="000000"/>
          <w:sz w:val="24"/>
          <w:szCs w:val="21"/>
        </w:rPr>
        <w:t>产生地面漫流和垂直入渗，实现了过程污染防控。</w:t>
      </w:r>
    </w:p>
    <w:p>
      <w:pPr>
        <w:widowControl/>
        <w:spacing w:line="360" w:lineRule="auto"/>
        <w:ind w:firstLine="480" w:firstLineChars="200"/>
        <w:rPr>
          <w:rFonts w:hint="default" w:ascii="Times New Roman" w:hAnsi="Times New Roman" w:cs="Times New Roman"/>
          <w:color w:val="000000"/>
          <w:sz w:val="24"/>
          <w:szCs w:val="21"/>
        </w:rPr>
      </w:pPr>
      <w:bookmarkStart w:id="170" w:name="_Toc28981"/>
      <w:bookmarkStart w:id="171" w:name="_Toc36537204"/>
      <w:bookmarkStart w:id="172" w:name="_Toc29822"/>
      <w:bookmarkStart w:id="173" w:name="_Toc4409"/>
      <w:bookmarkStart w:id="174" w:name="_Toc12536"/>
      <w:r>
        <w:rPr>
          <w:rFonts w:hint="default" w:ascii="Times New Roman" w:hAnsi="Times New Roman" w:cs="Times New Roman"/>
          <w:color w:val="000000"/>
          <w:sz w:val="24"/>
          <w:szCs w:val="21"/>
        </w:rPr>
        <w:t>（3）土壤环境跟踪监测与信息公开计划</w:t>
      </w:r>
      <w:bookmarkEnd w:id="170"/>
      <w:bookmarkEnd w:id="171"/>
      <w:bookmarkEnd w:id="172"/>
      <w:bookmarkEnd w:id="173"/>
      <w:bookmarkEnd w:id="174"/>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为了及时发现建设项目运营期对周围土壤产生的影响，根据前述土壤污染预测及评价结果，建设单位应对项目区设置土壤监测点，组织专业人员定期对土壤进行监测，以掌握项目区土壤污染情况，为及时应对土壤污染提供依据，具体监测方案如下：</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（1）监测点布设</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在医废处理中心主导风向下风向、调节池下游各布设一个土壤环境质量跟踪监测点，每</w:t>
      </w:r>
      <w:r>
        <w:rPr>
          <w:rFonts w:hint="eastAsia" w:ascii="Times New Roman" w:hAnsi="Times New Roman" w:cs="Times New Roman"/>
          <w:sz w:val="24"/>
          <w:lang w:val="en-US" w:eastAsia="zh-CN"/>
        </w:rPr>
        <w:t>5</w:t>
      </w:r>
      <w:r>
        <w:rPr>
          <w:rFonts w:hint="default" w:ascii="Times New Roman" w:hAnsi="Times New Roman" w:cs="Times New Roman"/>
          <w:sz w:val="24"/>
        </w:rPr>
        <w:t>年监测一次。</w:t>
      </w:r>
    </w:p>
    <w:p>
      <w:pPr>
        <w:spacing w:line="360" w:lineRule="auto"/>
        <w:ind w:firstLine="480"/>
        <w:rPr>
          <w:rFonts w:hint="default" w:ascii="Times New Roman" w:hAnsi="Times New Roman" w:cs="Times New Roman"/>
          <w:color w:val="000000"/>
          <w:sz w:val="24"/>
        </w:rPr>
      </w:pPr>
      <w:r>
        <w:rPr>
          <w:rFonts w:hint="default" w:ascii="Times New Roman" w:hAnsi="Times New Roman" w:cs="Times New Roman"/>
          <w:sz w:val="24"/>
        </w:rPr>
        <w:t>（2）监测项目</w:t>
      </w:r>
      <w:r>
        <w:rPr>
          <w:rFonts w:hint="default" w:ascii="Times New Roman" w:hAnsi="Times New Roman" w:cs="Times New Roman"/>
          <w:color w:val="000000"/>
          <w:sz w:val="24"/>
        </w:rPr>
        <w:t>：医废处理中心主导风向下风向监测pH、铅、砷、镉、汞、镍、锌、铜；调节池下游监测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p>
      <w:pPr>
        <w:spacing w:line="360" w:lineRule="auto"/>
        <w:ind w:firstLine="480"/>
        <w:rPr>
          <w:rFonts w:hint="default" w:ascii="Times New Roman" w:hAnsi="Times New Roman" w:cs="Times New Roman"/>
          <w:color w:val="000000"/>
          <w:sz w:val="24"/>
        </w:rPr>
      </w:pPr>
      <w:r>
        <w:rPr>
          <w:rFonts w:hint="default" w:ascii="Times New Roman" w:hAnsi="Times New Roman" w:cs="Times New Roman"/>
          <w:color w:val="000000"/>
          <w:sz w:val="24"/>
        </w:rPr>
        <w:t>（3）监测数据管理</w:t>
      </w:r>
    </w:p>
    <w:p>
      <w:pPr>
        <w:spacing w:line="360" w:lineRule="auto"/>
        <w:ind w:firstLine="480"/>
        <w:rPr>
          <w:rFonts w:hint="default" w:ascii="Times New Roman" w:hAnsi="Times New Roman" w:cs="Times New Roman"/>
          <w:color w:val="000000"/>
          <w:sz w:val="24"/>
        </w:rPr>
      </w:pPr>
      <w:r>
        <w:rPr>
          <w:rFonts w:hint="default" w:ascii="Times New Roman" w:hAnsi="Times New Roman" w:cs="Times New Roman"/>
          <w:color w:val="000000"/>
          <w:sz w:val="24"/>
        </w:rPr>
        <w:t>上述监测结果应按项目有关规定及时建立档案，并定期向场生态环境保护部门汇报，对于常规监测数据应该进行公开。如发现异常或发生事故，加密监测频次，并分析污染原因，确定泄漏污染源，及时采取应急措施。</w:t>
      </w:r>
    </w:p>
    <w:p>
      <w:pPr>
        <w:spacing w:line="360" w:lineRule="auto"/>
        <w:ind w:firstLine="480"/>
        <w:rPr>
          <w:rFonts w:hint="default" w:ascii="Times New Roman" w:hAnsi="Times New Roman" w:cs="Times New Roman"/>
          <w:color w:val="000000"/>
          <w:sz w:val="24"/>
        </w:rPr>
      </w:pPr>
      <w:r>
        <w:rPr>
          <w:rFonts w:hint="default" w:ascii="Times New Roman" w:hAnsi="Times New Roman" w:cs="Times New Roman"/>
          <w:color w:val="000000"/>
          <w:sz w:val="24"/>
        </w:rPr>
        <w:t>为保证土壤监测有效、有序管理，须制定相关规定、明确职责，采取以下管理措施和技术措施。</w:t>
      </w:r>
    </w:p>
    <w:p>
      <w:pPr>
        <w:spacing w:line="360" w:lineRule="auto"/>
        <w:ind w:firstLine="480"/>
        <w:rPr>
          <w:rFonts w:hint="default" w:ascii="Times New Roman" w:hAnsi="Times New Roman" w:cs="Times New Roman"/>
          <w:color w:val="000000"/>
          <w:sz w:val="24"/>
        </w:rPr>
      </w:pPr>
      <w:r>
        <w:rPr>
          <w:rFonts w:hint="default" w:ascii="Times New Roman" w:hAnsi="Times New Roman" w:cs="Times New Roman"/>
          <w:color w:val="000000"/>
          <w:sz w:val="24"/>
        </w:rPr>
        <w:t>①防止土壤污染管理的职责属于建设单位的职责之一。建设单位环境保护管理部门指派专人负责防控土壤污染管理工作；</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②建设单位应委托具有监测资质的单位负责土壤监测工作，按要求及时分析整理原始资料、监测报告的编写工作；</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③建立土壤监测数据信息管理系统，与场环境管理系统相联系；</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④根据实际情况，按事故的性质、类型、影响范围、严重后果分等级地制订相应的预案。在制定预案时要根据本场环境污染事故潜在威胁的情况，认真细致地考虑各项影响因素，适当的时候组织有关部门、人员进行演练，不断补充完善。</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⑤按照《土壤环境监测技术规范》（HJ/T 166-2004）要求，及时上报监测数据和有关表格；</w:t>
      </w:r>
    </w:p>
    <w:p>
      <w:pPr>
        <w:pStyle w:val="2"/>
        <w:spacing w:line="360" w:lineRule="auto"/>
        <w:ind w:left="0" w:leftChars="0" w:firstLine="480" w:firstLineChars="200"/>
        <w:rPr>
          <w:rFonts w:hint="eastAsia" w:ascii="宋体" w:hAnsi="宋体" w:cs="宋体"/>
          <w:color w:val="000000"/>
          <w:kern w:val="0"/>
          <w:sz w:val="24"/>
          <w:lang w:bidi="ar"/>
        </w:rPr>
      </w:pPr>
      <w:r>
        <w:rPr>
          <w:rFonts w:hint="default" w:ascii="Times New Roman" w:hAnsi="Times New Roman" w:cs="Times New Roman"/>
          <w:sz w:val="24"/>
        </w:rPr>
        <w:t>⑥在日常例行监测中，一旦发现土壤监测数据异常，应尽快核查数据，确保数据的正确性。并将核查过的监测数据通告生态环境保护部门，由专人负责对数据进行分析、核实，并密切关注生产设施的运行情况，为防止土壤污染采取措施提供正确的依据。应采取的措施如下：了解全场生产是否出现异常情况，出现异常情况的装置、原因。加大监测密度，分析变化动向； 周期性地编写土壤动态监测报告；定期对污染区的生产装置进行检查</w:t>
      </w:r>
      <w:r>
        <w:rPr>
          <w:rFonts w:hint="default" w:ascii="Times New Roman" w:hAnsi="Times New Roman" w:cs="Times New Roman"/>
          <w:color w:val="000000"/>
          <w:sz w:val="24"/>
          <w:szCs w:val="21"/>
        </w:rPr>
        <w:t>。</w:t>
      </w:r>
    </w:p>
    <w:p>
      <w:pPr>
        <w:widowControl/>
        <w:spacing w:line="360" w:lineRule="auto"/>
        <w:ind w:firstLine="480" w:firstLineChars="200"/>
        <w:rPr>
          <w:rFonts w:hint="default" w:ascii="Times New Roman" w:hAnsi="Times New Roman" w:cs="Times New Roman"/>
          <w:color w:val="000000"/>
          <w:sz w:val="24"/>
          <w:szCs w:val="21"/>
        </w:rPr>
      </w:pPr>
      <w:r>
        <w:rPr>
          <w:rFonts w:hint="default" w:ascii="Times New Roman" w:hAnsi="Times New Roman" w:cs="Times New Roman"/>
          <w:color w:val="000000"/>
          <w:sz w:val="24"/>
          <w:szCs w:val="21"/>
        </w:rPr>
        <w:t>本项目土壤环境跟踪监测工作内容见表6.2-7。</w:t>
      </w:r>
    </w:p>
    <w:p>
      <w:pPr>
        <w:widowControl/>
        <w:ind w:firstLine="422" w:firstLineChars="200"/>
        <w:jc w:val="center"/>
        <w:rPr>
          <w:rFonts w:hint="default" w:ascii="Times New Roman" w:hAnsi="Times New Roman" w:cs="Times New Roman"/>
          <w:b/>
          <w:bCs/>
          <w:color w:val="000000"/>
          <w:szCs w:val="21"/>
          <w:lang w:bidi="en-US"/>
        </w:rPr>
      </w:pPr>
      <w:bookmarkStart w:id="175" w:name="_Hlk21676798"/>
      <w:r>
        <w:rPr>
          <w:rFonts w:hint="default" w:ascii="Times New Roman" w:hAnsi="Times New Roman" w:cs="Times New Roman"/>
          <w:b/>
          <w:bCs/>
          <w:color w:val="000000"/>
          <w:szCs w:val="21"/>
          <w:lang w:bidi="en-US"/>
        </w:rPr>
        <w:t>表6.2-7     土壤环境跟踪监测信息表</w:t>
      </w:r>
    </w:p>
    <w:bookmarkEnd w:id="175"/>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690"/>
        <w:gridCol w:w="3185"/>
        <w:gridCol w:w="35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6" w:type="dxa"/>
            <w:gridSpan w:val="2"/>
            <w:noWrap w:val="0"/>
            <w:vAlign w:val="center"/>
          </w:tcPr>
          <w:p>
            <w:pPr>
              <w:jc w:val="center"/>
              <w:rPr>
                <w:rFonts w:hint="default" w:ascii="Times New Roman" w:hAnsi="Times New Roman" w:cs="Times New Roman"/>
                <w:color w:val="000000"/>
                <w:szCs w:val="21"/>
              </w:rPr>
            </w:pPr>
            <w:bookmarkStart w:id="176" w:name="_Hlk21676807"/>
            <w:r>
              <w:rPr>
                <w:rFonts w:hint="default" w:ascii="Times New Roman" w:hAnsi="Times New Roman" w:cs="Times New Roman"/>
                <w:color w:val="000000"/>
                <w:szCs w:val="21"/>
              </w:rPr>
              <w:t>监测点位置</w:t>
            </w:r>
          </w:p>
        </w:tc>
        <w:tc>
          <w:tcPr>
            <w:tcW w:w="318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项目区外下风向</w:t>
            </w:r>
          </w:p>
        </w:tc>
        <w:tc>
          <w:tcPr>
            <w:tcW w:w="3521"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项目区内调节池下游空地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6" w:type="dxa"/>
            <w:gridSpan w:val="2"/>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监测点编号</w:t>
            </w:r>
          </w:p>
        </w:tc>
        <w:tc>
          <w:tcPr>
            <w:tcW w:w="318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3521"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6" w:type="dxa"/>
            <w:gridSpan w:val="2"/>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敏感目标</w:t>
            </w:r>
          </w:p>
        </w:tc>
        <w:tc>
          <w:tcPr>
            <w:tcW w:w="3185" w:type="dxa"/>
            <w:noWrap w:val="0"/>
            <w:vAlign w:val="center"/>
          </w:tcPr>
          <w:p>
            <w:pPr>
              <w:jc w:val="center"/>
              <w:rPr>
                <w:rFonts w:hint="default" w:ascii="Times New Roman" w:hAnsi="Times New Roman" w:cs="Times New Roman"/>
                <w:color w:val="000000"/>
                <w:szCs w:val="21"/>
              </w:rPr>
            </w:pPr>
            <w:r>
              <w:rPr>
                <w:rFonts w:hint="eastAsia" w:ascii="Times New Roman" w:hAnsi="Times New Roman" w:cs="Times New Roman"/>
                <w:color w:val="000000"/>
                <w:szCs w:val="21"/>
                <w:lang w:val="en-US" w:eastAsia="zh-CN"/>
              </w:rPr>
              <w:t>林</w:t>
            </w:r>
            <w:r>
              <w:rPr>
                <w:rFonts w:hint="default" w:ascii="Times New Roman" w:hAnsi="Times New Roman" w:cs="Times New Roman"/>
                <w:color w:val="000000"/>
                <w:szCs w:val="21"/>
              </w:rPr>
              <w:t>地</w:t>
            </w:r>
          </w:p>
        </w:tc>
        <w:tc>
          <w:tcPr>
            <w:tcW w:w="3521"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建设用地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126" w:type="dxa"/>
            <w:vMerge w:val="restar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监测点坐标</w:t>
            </w:r>
          </w:p>
        </w:tc>
        <w:tc>
          <w:tcPr>
            <w:tcW w:w="69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东经</w:t>
            </w:r>
          </w:p>
        </w:tc>
        <w:tc>
          <w:tcPr>
            <w:tcW w:w="318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119°49′0.930″</w:t>
            </w:r>
          </w:p>
        </w:tc>
        <w:tc>
          <w:tcPr>
            <w:tcW w:w="3521"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119°48′59.308″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6" w:type="dxa"/>
            <w:vMerge w:val="continue"/>
            <w:noWrap w:val="0"/>
            <w:vAlign w:val="center"/>
          </w:tcPr>
          <w:p>
            <w:pPr>
              <w:jc w:val="center"/>
              <w:rPr>
                <w:rFonts w:hint="default" w:ascii="Times New Roman" w:hAnsi="Times New Roman" w:cs="Times New Roman"/>
                <w:color w:val="000000"/>
                <w:szCs w:val="21"/>
              </w:rPr>
            </w:pPr>
          </w:p>
        </w:tc>
        <w:tc>
          <w:tcPr>
            <w:tcW w:w="690"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北纬</w:t>
            </w:r>
          </w:p>
        </w:tc>
        <w:tc>
          <w:tcPr>
            <w:tcW w:w="318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47°14′32.185″</w:t>
            </w:r>
          </w:p>
        </w:tc>
        <w:tc>
          <w:tcPr>
            <w:tcW w:w="3521"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47°14′37.747″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6" w:type="dxa"/>
            <w:gridSpan w:val="2"/>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监测频率</w:t>
            </w:r>
          </w:p>
        </w:tc>
        <w:tc>
          <w:tcPr>
            <w:tcW w:w="318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 xml:space="preserve">1次/ </w:t>
            </w:r>
            <w:r>
              <w:rPr>
                <w:rFonts w:hint="eastAsia" w:ascii="Times New Roman" w:hAnsi="Times New Roman" w:cs="Times New Roman"/>
                <w:szCs w:val="21"/>
                <w:lang w:val="en-US" w:eastAsia="zh-CN"/>
              </w:rPr>
              <w:t>5</w:t>
            </w:r>
            <w:r>
              <w:rPr>
                <w:rFonts w:hint="default" w:ascii="Times New Roman" w:hAnsi="Times New Roman" w:cs="Times New Roman"/>
                <w:szCs w:val="21"/>
              </w:rPr>
              <w:t>年</w:t>
            </w:r>
          </w:p>
        </w:tc>
        <w:tc>
          <w:tcPr>
            <w:tcW w:w="35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1次/</w:t>
            </w:r>
            <w:r>
              <w:rPr>
                <w:rFonts w:hint="eastAsia" w:ascii="Times New Roman" w:hAnsi="Times New Roman" w:cs="Times New Roman"/>
                <w:szCs w:val="21"/>
                <w:lang w:val="en-US" w:eastAsia="zh-CN"/>
              </w:rPr>
              <w:t>5</w:t>
            </w:r>
            <w:r>
              <w:rPr>
                <w:rFonts w:hint="default" w:ascii="Times New Roman" w:hAnsi="Times New Roman" w:cs="Times New Roman"/>
                <w:szCs w:val="21"/>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6" w:type="dxa"/>
            <w:gridSpan w:val="2"/>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执行标准</w:t>
            </w:r>
          </w:p>
        </w:tc>
        <w:tc>
          <w:tcPr>
            <w:tcW w:w="318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《土壤环境质量标准 农用地土壤污染风险管控标准（试行）》（GB15618-2018）筛选值标准</w:t>
            </w:r>
          </w:p>
        </w:tc>
        <w:tc>
          <w:tcPr>
            <w:tcW w:w="3521"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《土壤环境质量 建设用地土壤污染风险管控标准（试行）》（GB36600-2018）表1建设用地土壤污染风险第二类用地筛选值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6" w:type="dxa"/>
            <w:gridSpan w:val="2"/>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监测因子</w:t>
            </w:r>
          </w:p>
        </w:tc>
        <w:tc>
          <w:tcPr>
            <w:tcW w:w="3185"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pH、镉、汞、砷、铅、铬、铜、镍、锌</w:t>
            </w:r>
          </w:p>
        </w:tc>
        <w:tc>
          <w:tcPr>
            <w:tcW w:w="3521"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tc>
      </w:tr>
      <w:bookmarkEnd w:id="176"/>
    </w:tbl>
    <w:p>
      <w:pPr>
        <w:widowControl/>
        <w:spacing w:line="360" w:lineRule="auto"/>
        <w:jc w:val="left"/>
        <w:rPr>
          <w:rFonts w:hint="default" w:ascii="Times New Roman" w:hAnsi="Times New Roman" w:cs="Times New Roman"/>
          <w:color w:val="000000"/>
          <w:sz w:val="24"/>
          <w:szCs w:val="21"/>
        </w:rPr>
      </w:pPr>
      <w:r>
        <w:drawing>
          <wp:inline distT="0" distB="0" distL="114300" distR="114300">
            <wp:extent cx="5267325" cy="2684145"/>
            <wp:effectExtent l="0" t="0" r="9525" b="1905"/>
            <wp:docPr id="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
                    <pic:cNvPicPr>
                      <a:picLocks noChangeAspect="1"/>
                    </pic:cNvPicPr>
                  </pic:nvPicPr>
                  <pic:blipFill>
                    <a:blip r:embed="rId22"/>
                    <a:stretch>
                      <a:fillRect/>
                    </a:stretch>
                  </pic:blipFill>
                  <pic:spPr>
                    <a:xfrm>
                      <a:off x="0" y="0"/>
                      <a:ext cx="5267325" cy="2684145"/>
                    </a:xfrm>
                    <a:prstGeom prst="rect">
                      <a:avLst/>
                    </a:prstGeom>
                    <a:noFill/>
                    <a:ln>
                      <a:noFill/>
                    </a:ln>
                  </pic:spPr>
                </pic:pic>
              </a:graphicData>
            </a:graphic>
          </wp:inline>
        </w:drawing>
      </w:r>
    </w:p>
    <w:p>
      <w:pPr>
        <w:widowControl/>
        <w:spacing w:line="360" w:lineRule="auto"/>
        <w:ind w:firstLine="422" w:firstLineChars="200"/>
        <w:jc w:val="center"/>
        <w:rPr>
          <w:rFonts w:hint="default" w:ascii="Times New Roman" w:hAnsi="Times New Roman" w:cs="Times New Roman"/>
          <w:sz w:val="24"/>
        </w:rPr>
      </w:pPr>
      <w:r>
        <w:rPr>
          <w:rFonts w:hint="default" w:ascii="Times New Roman" w:hAnsi="Times New Roman" w:cs="Times New Roman"/>
          <w:b/>
          <w:bCs/>
          <w:color w:val="000000"/>
          <w:szCs w:val="21"/>
        </w:rPr>
        <w:t>图6.2-6    土壤环境跟踪监测点位布设图</w:t>
      </w:r>
    </w:p>
    <w:p>
      <w:pPr>
        <w:pStyle w:val="6"/>
        <w:spacing w:before="0" w:after="0" w:line="360" w:lineRule="auto"/>
        <w:rPr>
          <w:rFonts w:hint="default" w:ascii="Times New Roman" w:hAnsi="Times New Roman" w:cs="Times New Roman"/>
          <w:kern w:val="0"/>
          <w:sz w:val="28"/>
        </w:rPr>
      </w:pPr>
      <w:bookmarkStart w:id="177" w:name="_Toc45"/>
      <w:bookmarkStart w:id="178" w:name="_Toc13504"/>
      <w:r>
        <w:rPr>
          <w:rFonts w:hint="default" w:ascii="Times New Roman" w:hAnsi="Times New Roman" w:cs="Times New Roman"/>
          <w:kern w:val="0"/>
          <w:sz w:val="28"/>
        </w:rPr>
        <w:t>6.2.7污染防治措施汇总及环保验收</w:t>
      </w:r>
      <w:bookmarkEnd w:id="177"/>
      <w:bookmarkEnd w:id="178"/>
    </w:p>
    <w:p>
      <w:pPr>
        <w:pStyle w:val="2"/>
        <w:spacing w:line="360" w:lineRule="auto"/>
        <w:ind w:left="0" w:leftChars="0" w:firstLine="480" w:firstLineChars="200"/>
        <w:rPr>
          <w:rFonts w:hint="eastAsia" w:ascii="宋体" w:hAnsi="宋体" w:cs="宋体"/>
          <w:color w:val="000000"/>
          <w:kern w:val="0"/>
          <w:sz w:val="24"/>
          <w:lang w:bidi="ar"/>
        </w:rPr>
      </w:pPr>
      <w:r>
        <w:rPr>
          <w:rFonts w:hint="default" w:ascii="Times New Roman" w:hAnsi="Times New Roman" w:cs="Times New Roman"/>
          <w:sz w:val="24"/>
        </w:rPr>
        <w:t>本项目所有污染源均采取有效地的污染防治措施。环保投资项目主要有废气治理、废水处理、固废治理、防渗、噪声治理等。</w:t>
      </w:r>
      <w:r>
        <w:rPr>
          <w:rFonts w:hint="default" w:ascii="Times New Roman" w:hAnsi="Times New Roman" w:cs="Times New Roman"/>
          <w:bCs/>
          <w:sz w:val="24"/>
        </w:rPr>
        <w:t>项目计划总投资</w:t>
      </w:r>
      <w:r>
        <w:rPr>
          <w:rFonts w:hint="eastAsia" w:ascii="Times New Roman" w:hAnsi="Times New Roman" w:cs="Times New Roman"/>
          <w:bCs/>
          <w:sz w:val="24"/>
          <w:lang w:val="en-US" w:eastAsia="zh-CN"/>
        </w:rPr>
        <w:t>920</w:t>
      </w:r>
      <w:r>
        <w:rPr>
          <w:rFonts w:hint="default" w:ascii="Times New Roman" w:hAnsi="Times New Roman" w:cs="Times New Roman"/>
          <w:bCs/>
          <w:sz w:val="24"/>
        </w:rPr>
        <w:t>.00 万元</w:t>
      </w:r>
      <w:r>
        <w:rPr>
          <w:rFonts w:hint="default" w:ascii="Times New Roman" w:hAnsi="Times New Roman" w:cs="Times New Roman"/>
          <w:sz w:val="24"/>
        </w:rPr>
        <w:t>，环保投资62.75万元，环保投资占总投资的</w:t>
      </w:r>
      <w:r>
        <w:rPr>
          <w:rFonts w:hint="eastAsia" w:ascii="Times New Roman" w:hAnsi="Times New Roman" w:cs="Times New Roman"/>
          <w:sz w:val="24"/>
          <w:lang w:val="en-US" w:eastAsia="zh-CN"/>
        </w:rPr>
        <w:t>6.82</w:t>
      </w:r>
      <w:r>
        <w:rPr>
          <w:rFonts w:hint="default" w:ascii="Times New Roman" w:hAnsi="Times New Roman" w:cs="Times New Roman"/>
          <w:sz w:val="24"/>
        </w:rPr>
        <w:t>%。污染防治措施及环保投资见表6.2-8。</w:t>
      </w:r>
    </w:p>
    <w:p>
      <w:pPr>
        <w:pStyle w:val="52"/>
        <w:topLinePunct w:val="0"/>
        <w:adjustRightInd w:val="0"/>
        <w:snapToGrid w:val="0"/>
        <w:spacing w:line="240" w:lineRule="auto"/>
        <w:ind w:firstLine="422"/>
        <w:jc w:val="center"/>
        <w:rPr>
          <w:rFonts w:ascii="Times New Roman" w:hAnsi="Times New Roman"/>
          <w:b/>
          <w:sz w:val="21"/>
          <w:szCs w:val="21"/>
        </w:rPr>
      </w:pPr>
      <w:r>
        <w:rPr>
          <w:rFonts w:ascii="Times New Roman" w:hAnsi="Times New Roman"/>
          <w:b/>
          <w:sz w:val="21"/>
          <w:szCs w:val="21"/>
        </w:rPr>
        <w:t>表</w:t>
      </w:r>
      <w:r>
        <w:rPr>
          <w:rFonts w:hint="eastAsia" w:ascii="Times New Roman" w:hAnsi="Times New Roman"/>
          <w:b/>
          <w:sz w:val="21"/>
          <w:szCs w:val="21"/>
          <w:lang w:val="en-US"/>
        </w:rPr>
        <w:t>6.2-8</w:t>
      </w:r>
      <w:r>
        <w:rPr>
          <w:rFonts w:ascii="Times New Roman" w:hAnsi="Times New Roman"/>
          <w:b/>
          <w:sz w:val="21"/>
          <w:szCs w:val="21"/>
        </w:rPr>
        <w:t xml:space="preserve">    本</w:t>
      </w:r>
      <w:r>
        <w:rPr>
          <w:rFonts w:ascii="Times New Roman" w:hAnsi="Times New Roman"/>
          <w:b/>
          <w:sz w:val="21"/>
          <w:szCs w:val="21"/>
          <w:lang w:val="en-US"/>
        </w:rPr>
        <w:t>项目环保措施</w:t>
      </w:r>
      <w:r>
        <w:rPr>
          <w:rFonts w:hint="eastAsia" w:ascii="Times New Roman" w:hAnsi="Times New Roman"/>
          <w:b/>
          <w:sz w:val="21"/>
          <w:szCs w:val="21"/>
          <w:lang w:val="en-US"/>
        </w:rPr>
        <w:t>及环保投资</w:t>
      </w:r>
      <w:r>
        <w:rPr>
          <w:rFonts w:ascii="Times New Roman" w:hAnsi="Times New Roman"/>
          <w:b/>
          <w:sz w:val="21"/>
          <w:szCs w:val="21"/>
          <w:lang w:val="en-US"/>
        </w:rPr>
        <w:t>一览表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43"/>
        <w:gridCol w:w="895"/>
        <w:gridCol w:w="3348"/>
        <w:gridCol w:w="497"/>
        <w:gridCol w:w="529"/>
        <w:gridCol w:w="2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9" w:hRule="atLeast"/>
          <w:tblHeader/>
          <w:jc w:val="center"/>
        </w:trPr>
        <w:tc>
          <w:tcPr>
            <w:tcW w:w="740" w:type="pct"/>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污染防治项目</w:t>
            </w:r>
          </w:p>
        </w:tc>
        <w:tc>
          <w:tcPr>
            <w:tcW w:w="200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治理设施</w:t>
            </w:r>
          </w:p>
        </w:tc>
        <w:tc>
          <w:tcPr>
            <w:tcW w:w="297"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数量</w:t>
            </w:r>
          </w:p>
        </w:tc>
        <w:tc>
          <w:tcPr>
            <w:tcW w:w="3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投资</w:t>
            </w:r>
          </w:p>
        </w:tc>
        <w:tc>
          <w:tcPr>
            <w:tcW w:w="1644" w:type="pct"/>
            <w:noWrap w:val="0"/>
            <w:vAlign w:val="top"/>
          </w:tcPr>
          <w:p>
            <w:pPr>
              <w:jc w:val="center"/>
              <w:rPr>
                <w:rFonts w:hint="default" w:ascii="Times New Roman" w:hAnsi="Times New Roman" w:cs="Times New Roman"/>
                <w:szCs w:val="21"/>
              </w:rPr>
            </w:pPr>
            <w:r>
              <w:rPr>
                <w:rFonts w:hint="default" w:ascii="Times New Roman" w:hAnsi="Times New Roman" w:cs="Times New Roman"/>
                <w:szCs w:val="21"/>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531" w:hRule="atLeast"/>
          <w:jc w:val="center"/>
        </w:trPr>
        <w:tc>
          <w:tcPr>
            <w:tcW w:w="205" w:type="pct"/>
            <w:vMerge w:val="restart"/>
            <w:noWrap w:val="0"/>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废气</w:t>
            </w:r>
          </w:p>
        </w:tc>
        <w:tc>
          <w:tcPr>
            <w:tcW w:w="535" w:type="pct"/>
            <w:noWrap w:val="0"/>
            <w:vAlign w:val="center"/>
          </w:tcPr>
          <w:p>
            <w:pPr>
              <w:jc w:val="center"/>
              <w:rPr>
                <w:rFonts w:hint="default" w:ascii="Times New Roman" w:hAnsi="Times New Roman" w:cs="Times New Roman"/>
                <w:szCs w:val="21"/>
              </w:rPr>
            </w:pPr>
            <w:r>
              <w:rPr>
                <w:rFonts w:hint="default" w:ascii="Times New Roman" w:hAnsi="Times New Roman" w:cs="Times New Roman"/>
                <w:kern w:val="0"/>
                <w:szCs w:val="21"/>
              </w:rPr>
              <w:t>医废处理车间有组织废气（G1）</w:t>
            </w:r>
          </w:p>
        </w:tc>
        <w:tc>
          <w:tcPr>
            <w:tcW w:w="2001" w:type="pct"/>
            <w:noWrap w:val="0"/>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lang w:val="en-US" w:eastAsia="zh-CN"/>
              </w:rPr>
              <w:t>收集效率取98%，喷淋塔除尘效率75%，UV光催化氧化对NMHC及恶臭去除率60%，活性炭吸附效率90%，</w:t>
            </w:r>
            <w:r>
              <w:rPr>
                <w:rFonts w:hint="default" w:ascii="Times New Roman" w:hAnsi="Times New Roman" w:cs="Times New Roman"/>
                <w:color w:val="000000"/>
                <w:kern w:val="0"/>
                <w:szCs w:val="21"/>
              </w:rPr>
              <w:t>处理后</w:t>
            </w:r>
            <w:r>
              <w:rPr>
                <w:rFonts w:hint="default" w:ascii="Times New Roman" w:hAnsi="Times New Roman" w:cs="Times New Roman"/>
                <w:color w:val="000000"/>
                <w:kern w:val="0"/>
                <w:szCs w:val="21"/>
                <w:lang w:val="en-US" w:eastAsia="zh-CN"/>
              </w:rPr>
              <w:t>废气</w:t>
            </w:r>
            <w:r>
              <w:rPr>
                <w:rFonts w:hint="default" w:ascii="Times New Roman" w:hAnsi="Times New Roman" w:cs="Times New Roman"/>
                <w:color w:val="000000"/>
                <w:kern w:val="0"/>
                <w:szCs w:val="21"/>
              </w:rPr>
              <w:t>经1根15m高排气筒排放</w:t>
            </w:r>
          </w:p>
        </w:tc>
        <w:tc>
          <w:tcPr>
            <w:tcW w:w="297"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1套</w:t>
            </w:r>
          </w:p>
        </w:tc>
        <w:tc>
          <w:tcPr>
            <w:tcW w:w="3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25</w:t>
            </w:r>
          </w:p>
        </w:tc>
        <w:tc>
          <w:tcPr>
            <w:tcW w:w="164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非甲烷总烃排放浓度可满足《医疗废物处理处置污染控制标准》（GB39707--2020）表3中20mg/m</w:t>
            </w:r>
            <w:r>
              <w:rPr>
                <w:rFonts w:hint="default" w:ascii="Times New Roman" w:hAnsi="Times New Roman" w:cs="Times New Roman"/>
                <w:szCs w:val="21"/>
                <w:vertAlign w:val="superscript"/>
              </w:rPr>
              <w:t>3</w:t>
            </w:r>
            <w:r>
              <w:rPr>
                <w:rFonts w:hint="default" w:ascii="Times New Roman" w:hAnsi="Times New Roman" w:cs="Times New Roman"/>
                <w:szCs w:val="21"/>
              </w:rPr>
              <w:t>排放限值要求，NH</w:t>
            </w:r>
            <w:r>
              <w:rPr>
                <w:rFonts w:hint="default" w:ascii="Times New Roman" w:hAnsi="Times New Roman" w:cs="Times New Roman"/>
                <w:szCs w:val="21"/>
                <w:vertAlign w:val="subscript"/>
              </w:rPr>
              <w:t>3</w:t>
            </w:r>
            <w:r>
              <w:rPr>
                <w:rFonts w:hint="default" w:ascii="Times New Roman" w:hAnsi="Times New Roman" w:cs="Times New Roman"/>
                <w:szCs w:val="21"/>
              </w:rPr>
              <w:t>、H</w:t>
            </w:r>
            <w:r>
              <w:rPr>
                <w:rFonts w:hint="default" w:ascii="Times New Roman" w:hAnsi="Times New Roman" w:cs="Times New Roman"/>
                <w:szCs w:val="21"/>
                <w:vertAlign w:val="subscript"/>
              </w:rPr>
              <w:t>2</w:t>
            </w:r>
            <w:r>
              <w:rPr>
                <w:rFonts w:hint="default" w:ascii="Times New Roman" w:hAnsi="Times New Roman" w:cs="Times New Roman"/>
                <w:szCs w:val="21"/>
              </w:rPr>
              <w:t>S、臭气浓度排放可满足《恶臭污染物排放标准》（GB14554-93）表2中排放标准值；颗粒物可以满足表 2 中二级排放限值120mg/m</w:t>
            </w:r>
            <w:r>
              <w:rPr>
                <w:rFonts w:hint="default" w:ascii="Times New Roman" w:hAnsi="Times New Roman" w:cs="Times New Roman"/>
                <w:szCs w:val="21"/>
                <w:vertAlign w:val="superscript"/>
              </w:rPr>
              <w:t>3</w:t>
            </w:r>
            <w:r>
              <w:rPr>
                <w:rFonts w:hint="default" w:ascii="Times New Roman" w:hAnsi="Times New Roman" w:cs="Times New Roman"/>
                <w:szCs w:val="21"/>
              </w:rPr>
              <w:t>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9" w:hRule="atLeast"/>
          <w:jc w:val="center"/>
        </w:trPr>
        <w:tc>
          <w:tcPr>
            <w:tcW w:w="205" w:type="pct"/>
            <w:vMerge w:val="continue"/>
            <w:noWrap w:val="0"/>
            <w:vAlign w:val="center"/>
          </w:tcPr>
          <w:p>
            <w:pPr>
              <w:spacing w:line="240" w:lineRule="atLeast"/>
              <w:jc w:val="center"/>
              <w:rPr>
                <w:rFonts w:hint="default" w:ascii="Times New Roman" w:hAnsi="Times New Roman" w:cs="Times New Roman"/>
                <w:szCs w:val="21"/>
              </w:rPr>
            </w:pPr>
          </w:p>
        </w:tc>
        <w:tc>
          <w:tcPr>
            <w:tcW w:w="535" w:type="pct"/>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医废处理车间无组织废气（G2）</w:t>
            </w:r>
          </w:p>
        </w:tc>
        <w:tc>
          <w:tcPr>
            <w:tcW w:w="2001" w:type="pct"/>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医废处理车间微负压，</w:t>
            </w:r>
            <w:r>
              <w:rPr>
                <w:rFonts w:hint="eastAsia" w:ascii="Times New Roman" w:hAnsi="Times New Roman" w:cs="Times New Roman"/>
                <w:kern w:val="0"/>
                <w:szCs w:val="21"/>
                <w:lang w:val="en-US" w:eastAsia="zh-CN"/>
              </w:rPr>
              <w:t>设有集气罩，</w:t>
            </w:r>
            <w:r>
              <w:rPr>
                <w:rFonts w:hint="default" w:ascii="Times New Roman" w:hAnsi="Times New Roman" w:cs="Times New Roman"/>
                <w:kern w:val="0"/>
                <w:szCs w:val="21"/>
              </w:rPr>
              <w:t>无组织废气排放量极小</w:t>
            </w:r>
          </w:p>
        </w:tc>
        <w:tc>
          <w:tcPr>
            <w:tcW w:w="297"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3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64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氨、硫化氢、臭气浓度厂界无组织限值满足</w:t>
            </w:r>
            <w:r>
              <w:rPr>
                <w:rFonts w:hint="default" w:ascii="Times New Roman" w:hAnsi="Times New Roman" w:cs="Times New Roman"/>
                <w:color w:val="000000"/>
                <w:szCs w:val="21"/>
              </w:rPr>
              <w:t>《恶臭污染物排放标准》(GB14554-93)二级新扩改建中氨1.5</w:t>
            </w:r>
            <w:r>
              <w:rPr>
                <w:rFonts w:hint="default" w:ascii="Times New Roman" w:hAnsi="Times New Roman" w:cs="Times New Roman"/>
                <w:szCs w:val="21"/>
              </w:rPr>
              <w:t>mg/</w:t>
            </w:r>
            <w:r>
              <w:rPr>
                <w:rFonts w:hint="default" w:ascii="Times New Roman" w:hAnsi="Times New Roman" w:cs="Times New Roman"/>
                <w:bCs/>
                <w:iCs/>
                <w:szCs w:val="21"/>
              </w:rPr>
              <w:t>m</w:t>
            </w:r>
            <w:r>
              <w:rPr>
                <w:rFonts w:hint="default" w:ascii="Times New Roman" w:hAnsi="Times New Roman" w:cs="Times New Roman"/>
                <w:bCs/>
                <w:iCs/>
                <w:szCs w:val="21"/>
                <w:vertAlign w:val="superscript"/>
              </w:rPr>
              <w:t>3</w:t>
            </w:r>
            <w:r>
              <w:rPr>
                <w:rFonts w:hint="default" w:ascii="Times New Roman" w:hAnsi="Times New Roman" w:cs="Times New Roman"/>
                <w:color w:val="000000"/>
                <w:szCs w:val="21"/>
              </w:rPr>
              <w:t>、硫化氢0.06</w:t>
            </w:r>
            <w:r>
              <w:rPr>
                <w:rFonts w:hint="default" w:ascii="Times New Roman" w:hAnsi="Times New Roman" w:cs="Times New Roman"/>
                <w:szCs w:val="21"/>
              </w:rPr>
              <w:t>mg/</w:t>
            </w:r>
            <w:r>
              <w:rPr>
                <w:rFonts w:hint="default" w:ascii="Times New Roman" w:hAnsi="Times New Roman" w:cs="Times New Roman"/>
                <w:bCs/>
                <w:iCs/>
                <w:szCs w:val="21"/>
              </w:rPr>
              <w:t>m</w:t>
            </w:r>
            <w:r>
              <w:rPr>
                <w:rFonts w:hint="default" w:ascii="Times New Roman" w:hAnsi="Times New Roman" w:cs="Times New Roman"/>
                <w:bCs/>
                <w:iCs/>
                <w:szCs w:val="21"/>
                <w:vertAlign w:val="superscript"/>
              </w:rPr>
              <w:t>3</w:t>
            </w:r>
            <w:r>
              <w:rPr>
                <w:rFonts w:hint="default" w:ascii="Times New Roman" w:hAnsi="Times New Roman" w:cs="Times New Roman"/>
                <w:color w:val="000000"/>
                <w:szCs w:val="21"/>
              </w:rPr>
              <w:t>、臭气浓度20（无量纲）标准限值；颗粒物满足《大气污染物综合排放标准》(GB16297－1996)中1.0</w:t>
            </w:r>
            <w:r>
              <w:rPr>
                <w:rFonts w:hint="default" w:ascii="Times New Roman" w:hAnsi="Times New Roman" w:cs="Times New Roman"/>
                <w:szCs w:val="21"/>
              </w:rPr>
              <w:t>mg/</w:t>
            </w:r>
            <w:r>
              <w:rPr>
                <w:rFonts w:hint="default" w:ascii="Times New Roman" w:hAnsi="Times New Roman" w:cs="Times New Roman"/>
                <w:bCs/>
                <w:iCs/>
                <w:szCs w:val="21"/>
              </w:rPr>
              <w:t>m</w:t>
            </w:r>
            <w:r>
              <w:rPr>
                <w:rFonts w:hint="default" w:ascii="Times New Roman" w:hAnsi="Times New Roman" w:cs="Times New Roman"/>
                <w:bCs/>
                <w:iCs/>
                <w:szCs w:val="21"/>
                <w:vertAlign w:val="superscript"/>
              </w:rPr>
              <w:t>3</w:t>
            </w:r>
            <w:r>
              <w:rPr>
                <w:rFonts w:hint="default" w:ascii="Times New Roman" w:hAnsi="Times New Roman" w:cs="Times New Roman"/>
                <w:color w:val="000000"/>
                <w:szCs w:val="21"/>
              </w:rPr>
              <w:t>标准限值；非甲烷总烃周界外无组织浓度最高点满足《大气污染物综合排放标准》(GB16297－1996)表2新污染源大气污染物排放限值4.0</w:t>
            </w:r>
            <w:r>
              <w:rPr>
                <w:rFonts w:hint="default" w:ascii="Times New Roman" w:hAnsi="Times New Roman" w:cs="Times New Roman"/>
                <w:szCs w:val="21"/>
              </w:rPr>
              <w:t>mg/</w:t>
            </w:r>
            <w:r>
              <w:rPr>
                <w:rFonts w:hint="default" w:ascii="Times New Roman" w:hAnsi="Times New Roman" w:cs="Times New Roman"/>
                <w:bCs/>
                <w:iCs/>
                <w:szCs w:val="21"/>
              </w:rPr>
              <w:t>m</w:t>
            </w:r>
            <w:r>
              <w:rPr>
                <w:rFonts w:hint="default" w:ascii="Times New Roman" w:hAnsi="Times New Roman" w:cs="Times New Roman"/>
                <w:bCs/>
                <w:iCs/>
                <w:szCs w:val="21"/>
                <w:vertAlign w:val="superscript"/>
              </w:rPr>
              <w:t>3</w:t>
            </w:r>
            <w:r>
              <w:rPr>
                <w:rFonts w:hint="default" w:ascii="Times New Roman" w:hAnsi="Times New Roman" w:cs="Times New Roman"/>
                <w:color w:val="000000"/>
                <w:szCs w:val="21"/>
              </w:rPr>
              <w:t>，</w:t>
            </w:r>
            <w:r>
              <w:rPr>
                <w:rFonts w:hint="default" w:ascii="Times New Roman" w:hAnsi="Times New Roman" w:cs="Times New Roman"/>
                <w:kern w:val="0"/>
                <w:szCs w:val="21"/>
              </w:rPr>
              <w:t>非甲烷总烃厂房外监控点1h平均浓度值执行《挥发性有机物无组织排放控制标准（GB37822-2019）中限值10</w:t>
            </w:r>
            <w:r>
              <w:rPr>
                <w:rFonts w:hint="default" w:ascii="Times New Roman" w:hAnsi="Times New Roman" w:cs="Times New Roman"/>
                <w:szCs w:val="21"/>
              </w:rPr>
              <w:t>mg/</w:t>
            </w:r>
            <w:r>
              <w:rPr>
                <w:rFonts w:hint="default" w:ascii="Times New Roman" w:hAnsi="Times New Roman" w:cs="Times New Roman"/>
                <w:bCs/>
                <w:iCs/>
                <w:szCs w:val="21"/>
              </w:rPr>
              <w:t>m</w:t>
            </w:r>
            <w:r>
              <w:rPr>
                <w:rFonts w:hint="default" w:ascii="Times New Roman" w:hAnsi="Times New Roman" w:cs="Times New Roman"/>
                <w:bCs/>
                <w:iCs/>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585" w:hRule="atLeast"/>
          <w:jc w:val="center"/>
        </w:trPr>
        <w:tc>
          <w:tcPr>
            <w:tcW w:w="205" w:type="pct"/>
            <w:vMerge w:val="restart"/>
            <w:noWrap w:val="0"/>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废水</w:t>
            </w:r>
          </w:p>
        </w:tc>
        <w:tc>
          <w:tcPr>
            <w:tcW w:w="53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生产废水</w:t>
            </w:r>
          </w:p>
        </w:tc>
        <w:tc>
          <w:tcPr>
            <w:tcW w:w="200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bCs/>
                <w:iCs/>
                <w:color w:val="auto"/>
                <w:szCs w:val="21"/>
              </w:rPr>
              <w:t>处理车间内拟建一套一体化污水处理设施，主体处理工艺为“</w:t>
            </w:r>
            <w:r>
              <w:rPr>
                <w:rFonts w:hint="default" w:ascii="Times New Roman" w:hAnsi="Times New Roman" w:cs="Times New Roman"/>
                <w:color w:val="000000"/>
                <w:sz w:val="21"/>
                <w:szCs w:val="21"/>
                <w:lang w:val="en-US" w:eastAsia="zh-CN"/>
              </w:rPr>
              <w:t>格栅+</w:t>
            </w:r>
            <w:r>
              <w:rPr>
                <w:rFonts w:hint="default" w:ascii="Times New Roman" w:hAnsi="Times New Roman" w:cs="Times New Roman"/>
                <w:color w:val="000000"/>
                <w:sz w:val="21"/>
                <w:szCs w:val="21"/>
              </w:rPr>
              <w:t>调节池+</w:t>
            </w:r>
            <w:r>
              <w:rPr>
                <w:rFonts w:hint="default" w:ascii="Times New Roman" w:hAnsi="Times New Roman" w:cs="Times New Roman"/>
                <w:color w:val="000000"/>
                <w:sz w:val="21"/>
                <w:szCs w:val="21"/>
                <w:lang w:val="en-US" w:eastAsia="zh-CN"/>
              </w:rPr>
              <w:t>A</w:t>
            </w:r>
            <w:r>
              <w:rPr>
                <w:rFonts w:hint="default" w:ascii="Times New Roman" w:hAnsi="Times New Roman" w:cs="Times New Roman"/>
                <w:color w:val="000000"/>
                <w:sz w:val="21"/>
                <w:szCs w:val="21"/>
                <w:vertAlign w:val="subscript"/>
                <w:lang w:val="en-US" w:eastAsia="zh-CN"/>
              </w:rPr>
              <w:t>2</w:t>
            </w:r>
            <w:r>
              <w:rPr>
                <w:rFonts w:hint="default" w:ascii="Times New Roman" w:hAnsi="Times New Roman" w:cs="Times New Roman"/>
                <w:color w:val="000000"/>
                <w:sz w:val="21"/>
                <w:szCs w:val="21"/>
                <w:lang w:val="en-US" w:eastAsia="zh-CN"/>
              </w:rPr>
              <w:t>O+</w:t>
            </w:r>
            <w:r>
              <w:rPr>
                <w:rFonts w:hint="default" w:ascii="Times New Roman" w:hAnsi="Times New Roman" w:cs="Times New Roman"/>
                <w:color w:val="000000"/>
                <w:sz w:val="21"/>
                <w:szCs w:val="21"/>
              </w:rPr>
              <w:t>MBR 膜生物反应+消毒</w:t>
            </w:r>
            <w:r>
              <w:rPr>
                <w:rFonts w:hint="default" w:ascii="Times New Roman" w:hAnsi="Times New Roman" w:cs="Times New Roman"/>
                <w:bCs/>
                <w:iCs/>
                <w:color w:val="auto"/>
                <w:szCs w:val="21"/>
              </w:rPr>
              <w:t>”，设计废水处理量为</w:t>
            </w:r>
            <w:r>
              <w:rPr>
                <w:rFonts w:hint="default" w:ascii="Times New Roman" w:hAnsi="Times New Roman" w:cs="Times New Roman"/>
                <w:bCs/>
                <w:iCs/>
                <w:color w:val="auto"/>
                <w:szCs w:val="21"/>
                <w:lang w:val="en-US" w:eastAsia="zh-CN"/>
              </w:rPr>
              <w:t>5</w:t>
            </w:r>
            <w:r>
              <w:rPr>
                <w:rFonts w:hint="default" w:ascii="Times New Roman" w:hAnsi="Times New Roman" w:cs="Times New Roman"/>
                <w:bCs/>
                <w:iCs/>
                <w:color w:val="auto"/>
                <w:szCs w:val="21"/>
              </w:rPr>
              <w:t>m</w:t>
            </w:r>
            <w:r>
              <w:rPr>
                <w:rFonts w:hint="default" w:ascii="Times New Roman" w:hAnsi="Times New Roman" w:cs="Times New Roman"/>
                <w:bCs/>
                <w:iCs/>
                <w:color w:val="auto"/>
                <w:szCs w:val="21"/>
                <w:vertAlign w:val="superscript"/>
              </w:rPr>
              <w:t>3</w:t>
            </w:r>
            <w:r>
              <w:rPr>
                <w:rFonts w:hint="default" w:ascii="Times New Roman" w:hAnsi="Times New Roman" w:cs="Times New Roman"/>
                <w:bCs/>
                <w:iCs/>
                <w:color w:val="auto"/>
                <w:szCs w:val="21"/>
              </w:rPr>
              <w:t>/d</w:t>
            </w:r>
          </w:p>
        </w:tc>
        <w:tc>
          <w:tcPr>
            <w:tcW w:w="29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1套</w:t>
            </w:r>
          </w:p>
        </w:tc>
        <w:tc>
          <w:tcPr>
            <w:tcW w:w="31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644" w:type="pct"/>
            <w:noWrap w:val="0"/>
            <w:vAlign w:val="top"/>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bCs/>
                <w:iCs/>
                <w:color w:val="auto"/>
                <w:szCs w:val="21"/>
              </w:rPr>
              <w:t>出水水质可满足《医疗机构水污染物排放标准》(GB18466-2005)表2中限值</w:t>
            </w:r>
            <w:r>
              <w:rPr>
                <w:rFonts w:hint="eastAsia" w:ascii="Times New Roman" w:hAnsi="Times New Roman" w:cs="Times New Roman"/>
                <w:bCs/>
                <w:iCs/>
                <w:color w:val="auto"/>
                <w:szCs w:val="21"/>
                <w:lang w:eastAsia="zh-CN"/>
              </w:rPr>
              <w:t>、</w:t>
            </w:r>
            <w:r>
              <w:rPr>
                <w:rFonts w:hint="default" w:ascii="Times New Roman" w:hAnsi="Times New Roman" w:cs="Times New Roman"/>
                <w:color w:val="auto"/>
              </w:rPr>
              <w:t>《城市污水再生利用 城市杂用水水质》(GB/T 18920-2020)中</w:t>
            </w:r>
            <w:r>
              <w:rPr>
                <w:rFonts w:hint="eastAsia" w:ascii="Times New Roman" w:hAnsi="Times New Roman" w:cs="Times New Roman"/>
                <w:color w:val="auto"/>
                <w:lang w:val="en-US" w:eastAsia="zh-CN"/>
              </w:rPr>
              <w:t>绿化用水</w:t>
            </w:r>
            <w:r>
              <w:rPr>
                <w:rFonts w:hint="default" w:ascii="Times New Roman" w:hAnsi="Times New Roman" w:cs="Times New Roman"/>
                <w:color w:val="auto"/>
              </w:rPr>
              <w:t>水质标准值</w:t>
            </w:r>
            <w:r>
              <w:rPr>
                <w:rFonts w:hint="eastAsia" w:ascii="Times New Roman" w:hAnsi="Times New Roman" w:cs="Times New Roman"/>
                <w:color w:val="auto"/>
                <w:lang w:val="en-US" w:eastAsia="zh-CN"/>
              </w:rPr>
              <w:t>及突泉县突泉镇清源污水处理厂进水标准；非供暖季废水回用绿化不外排，供暖季废水经罐车拉运至污水处理厂处理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54" w:hRule="atLeast"/>
          <w:jc w:val="center"/>
        </w:trPr>
        <w:tc>
          <w:tcPr>
            <w:tcW w:w="205" w:type="pct"/>
            <w:vMerge w:val="continue"/>
            <w:noWrap w:val="0"/>
            <w:vAlign w:val="center"/>
          </w:tcPr>
          <w:p>
            <w:pPr>
              <w:jc w:val="center"/>
              <w:rPr>
                <w:rFonts w:hint="default" w:ascii="Times New Roman" w:hAnsi="Times New Roman" w:cs="Times New Roman"/>
                <w:szCs w:val="21"/>
              </w:rPr>
            </w:pPr>
          </w:p>
        </w:tc>
        <w:tc>
          <w:tcPr>
            <w:tcW w:w="53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生活污水</w:t>
            </w:r>
          </w:p>
        </w:tc>
        <w:tc>
          <w:tcPr>
            <w:tcW w:w="2001" w:type="pct"/>
            <w:noWrap w:val="0"/>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kern w:val="0"/>
                <w:szCs w:val="21"/>
              </w:rPr>
              <w:t>生活污水</w:t>
            </w:r>
            <w:r>
              <w:rPr>
                <w:rFonts w:hint="default" w:ascii="Times New Roman" w:hAnsi="Times New Roman" w:cs="Times New Roman"/>
                <w:color w:val="auto"/>
                <w:kern w:val="0"/>
                <w:szCs w:val="21"/>
                <w:lang w:eastAsia="zh-CN"/>
              </w:rPr>
              <w:t>排入本项目</w:t>
            </w:r>
            <w:r>
              <w:rPr>
                <w:rFonts w:hint="default" w:ascii="Times New Roman" w:hAnsi="Times New Roman" w:cs="Times New Roman"/>
                <w:color w:val="auto"/>
                <w:kern w:val="0"/>
                <w:szCs w:val="21"/>
              </w:rPr>
              <w:t>新建防渗化粪池后</w:t>
            </w:r>
            <w:r>
              <w:rPr>
                <w:rFonts w:hint="eastAsia" w:ascii="Times New Roman" w:hAnsi="Times New Roman" w:cs="Times New Roman"/>
                <w:color w:val="auto"/>
                <w:kern w:val="0"/>
                <w:szCs w:val="21"/>
                <w:lang w:val="en-US" w:eastAsia="zh-CN"/>
              </w:rPr>
              <w:t>吸污车清运至污水处理厂</w:t>
            </w:r>
          </w:p>
        </w:tc>
        <w:tc>
          <w:tcPr>
            <w:tcW w:w="29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1个</w:t>
            </w:r>
          </w:p>
        </w:tc>
        <w:tc>
          <w:tcPr>
            <w:tcW w:w="31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0.6</w:t>
            </w:r>
          </w:p>
        </w:tc>
        <w:tc>
          <w:tcPr>
            <w:tcW w:w="1644" w:type="pct"/>
            <w:noWrap w:val="0"/>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bCs/>
                <w:iCs/>
                <w:color w:val="auto"/>
                <w:szCs w:val="21"/>
              </w:rPr>
              <w:t>出水水质可满足</w:t>
            </w:r>
            <w:r>
              <w:rPr>
                <w:rFonts w:hint="eastAsia" w:ascii="Times New Roman" w:hAnsi="Times New Roman" w:cs="Times New Roman"/>
                <w:color w:val="auto"/>
                <w:lang w:val="en-US" w:eastAsia="zh-CN"/>
              </w:rPr>
              <w:t>突泉县突泉镇清源污水处理厂进水标准；</w:t>
            </w:r>
            <w:r>
              <w:rPr>
                <w:rFonts w:hint="eastAsia" w:ascii="Times New Roman" w:hAnsi="Times New Roman" w:cs="Times New Roman"/>
                <w:color w:val="auto"/>
                <w:kern w:val="0"/>
                <w:szCs w:val="21"/>
                <w:lang w:val="en-US" w:eastAsia="zh-CN"/>
              </w:rPr>
              <w:t>吸污车清运至污水处理厂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205" w:type="pct"/>
            <w:noWrap w:val="0"/>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噪声</w:t>
            </w:r>
          </w:p>
        </w:tc>
        <w:tc>
          <w:tcPr>
            <w:tcW w:w="53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设备噪声</w:t>
            </w:r>
          </w:p>
        </w:tc>
        <w:tc>
          <w:tcPr>
            <w:tcW w:w="2001"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eastAsia="zh-CN"/>
              </w:rPr>
              <w:t>封闭隔声、</w:t>
            </w:r>
            <w:r>
              <w:rPr>
                <w:rFonts w:hint="default" w:ascii="Times New Roman" w:hAnsi="Times New Roman" w:cs="Times New Roman"/>
                <w:color w:val="auto"/>
                <w:kern w:val="0"/>
                <w:szCs w:val="21"/>
              </w:rPr>
              <w:t>设备减振、降噪</w:t>
            </w:r>
          </w:p>
        </w:tc>
        <w:tc>
          <w:tcPr>
            <w:tcW w:w="297"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16"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644" w:type="pct"/>
            <w:noWrap w:val="0"/>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《工业企业厂界噪声标准》（GB12348-2008）2类标准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9" w:hRule="atLeast"/>
          <w:jc w:val="center"/>
        </w:trPr>
        <w:tc>
          <w:tcPr>
            <w:tcW w:w="205" w:type="pct"/>
            <w:vMerge w:val="restart"/>
            <w:noWrap w:val="0"/>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固体废物</w:t>
            </w:r>
          </w:p>
        </w:tc>
        <w:tc>
          <w:tcPr>
            <w:tcW w:w="535" w:type="pct"/>
            <w:noWrap w:val="0"/>
            <w:vAlign w:val="center"/>
          </w:tcPr>
          <w:p>
            <w:pPr>
              <w:jc w:val="center"/>
              <w:rPr>
                <w:rFonts w:hint="default" w:ascii="Times New Roman" w:hAnsi="Times New Roman" w:cs="Times New Roman"/>
              </w:rPr>
            </w:pPr>
            <w:r>
              <w:rPr>
                <w:rFonts w:hint="default" w:ascii="Times New Roman" w:hAnsi="Times New Roman" w:cs="Times New Roman"/>
              </w:rPr>
              <w:t>处理后医疗废物</w:t>
            </w:r>
            <w:r>
              <w:rPr>
                <w:rFonts w:hint="default" w:ascii="Times New Roman" w:hAnsi="Times New Roman" w:cs="Times New Roman"/>
                <w:bCs/>
                <w:spacing w:val="-10"/>
                <w:szCs w:val="21"/>
              </w:rPr>
              <w:t>S2</w:t>
            </w:r>
          </w:p>
        </w:tc>
        <w:tc>
          <w:tcPr>
            <w:tcW w:w="2001" w:type="pct"/>
            <w:noWrap w:val="0"/>
            <w:vAlign w:val="center"/>
          </w:tcPr>
          <w:p>
            <w:pPr>
              <w:jc w:val="center"/>
              <w:rPr>
                <w:rFonts w:hint="default" w:ascii="Times New Roman" w:hAnsi="Times New Roman" w:cs="Times New Roman"/>
              </w:rPr>
            </w:pPr>
            <w:r>
              <w:rPr>
                <w:rFonts w:hint="default" w:ascii="Times New Roman" w:hAnsi="Times New Roman" w:cs="Times New Roman"/>
                <w:bCs/>
                <w:spacing w:val="-10"/>
                <w:szCs w:val="21"/>
              </w:rPr>
              <w:t>进入</w:t>
            </w:r>
            <w:r>
              <w:rPr>
                <w:rFonts w:hint="eastAsia" w:ascii="Times New Roman" w:hAnsi="Times New Roman" w:cs="Times New Roman"/>
                <w:bCs/>
                <w:spacing w:val="-10"/>
                <w:szCs w:val="21"/>
                <w:lang w:val="en-US" w:eastAsia="zh-CN"/>
              </w:rPr>
              <w:t>阿尔山市</w:t>
            </w:r>
            <w:r>
              <w:rPr>
                <w:rFonts w:hint="default" w:ascii="Times New Roman" w:hAnsi="Times New Roman" w:cs="Times New Roman"/>
                <w:bCs/>
                <w:spacing w:val="-10"/>
                <w:szCs w:val="21"/>
              </w:rPr>
              <w:t>生活垃圾填埋场填埋处理</w:t>
            </w:r>
          </w:p>
        </w:tc>
        <w:tc>
          <w:tcPr>
            <w:tcW w:w="297"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3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0.1</w:t>
            </w:r>
          </w:p>
        </w:tc>
        <w:tc>
          <w:tcPr>
            <w:tcW w:w="164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《一般工业固体废物贮存和填埋污染控制标准》(GB18599-2020)相关要求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54" w:hRule="atLeast"/>
          <w:jc w:val="center"/>
        </w:trPr>
        <w:tc>
          <w:tcPr>
            <w:tcW w:w="205" w:type="pct"/>
            <w:vMerge w:val="continue"/>
            <w:noWrap w:val="0"/>
            <w:vAlign w:val="center"/>
          </w:tcPr>
          <w:p>
            <w:pPr>
              <w:spacing w:line="240" w:lineRule="atLeast"/>
              <w:jc w:val="center"/>
              <w:rPr>
                <w:rFonts w:hint="default" w:ascii="Times New Roman" w:hAnsi="Times New Roman" w:cs="Times New Roman"/>
                <w:szCs w:val="21"/>
              </w:rPr>
            </w:pPr>
          </w:p>
        </w:tc>
        <w:tc>
          <w:tcPr>
            <w:tcW w:w="535" w:type="pct"/>
            <w:noWrap w:val="0"/>
            <w:vAlign w:val="center"/>
          </w:tcPr>
          <w:p>
            <w:pPr>
              <w:jc w:val="center"/>
              <w:rPr>
                <w:rFonts w:hint="default" w:ascii="Times New Roman" w:hAnsi="Times New Roman" w:cs="Times New Roman"/>
              </w:rPr>
            </w:pPr>
            <w:r>
              <w:rPr>
                <w:rFonts w:hint="default" w:ascii="Times New Roman" w:hAnsi="Times New Roman" w:cs="Times New Roman"/>
              </w:rPr>
              <w:t>废活性炭</w:t>
            </w:r>
            <w:r>
              <w:rPr>
                <w:rFonts w:hint="default" w:ascii="Times New Roman" w:hAnsi="Times New Roman" w:cs="Times New Roman"/>
                <w:bCs/>
                <w:spacing w:val="-10"/>
                <w:szCs w:val="21"/>
              </w:rPr>
              <w:t>S3</w:t>
            </w:r>
          </w:p>
        </w:tc>
        <w:tc>
          <w:tcPr>
            <w:tcW w:w="2001" w:type="pct"/>
            <w:noWrap w:val="0"/>
            <w:vAlign w:val="center"/>
          </w:tcPr>
          <w:p>
            <w:pPr>
              <w:jc w:val="center"/>
              <w:rPr>
                <w:rFonts w:hint="default" w:ascii="Times New Roman" w:hAnsi="Times New Roman" w:cs="Times New Roman"/>
              </w:rPr>
            </w:pPr>
            <w:r>
              <w:rPr>
                <w:rFonts w:hint="default" w:ascii="Times New Roman" w:hAnsi="Times New Roman" w:cs="Times New Roman"/>
                <w:bCs/>
                <w:spacing w:val="-10"/>
                <w:szCs w:val="21"/>
              </w:rPr>
              <w:t>消毒后暂存危废暂存间</w:t>
            </w:r>
            <w:r>
              <w:rPr>
                <w:rFonts w:hint="default" w:ascii="Times New Roman" w:hAnsi="Times New Roman" w:cs="Times New Roman"/>
              </w:rPr>
              <w:t>（15m</w:t>
            </w:r>
            <w:r>
              <w:rPr>
                <w:rFonts w:hint="default" w:ascii="Times New Roman" w:hAnsi="Times New Roman" w:cs="Times New Roman"/>
                <w:vertAlign w:val="superscript"/>
              </w:rPr>
              <w:t>2</w:t>
            </w:r>
            <w:r>
              <w:rPr>
                <w:rFonts w:hint="default" w:ascii="Times New Roman" w:hAnsi="Times New Roman" w:cs="Times New Roman"/>
              </w:rPr>
              <w:t>），</w:t>
            </w:r>
            <w:r>
              <w:rPr>
                <w:rFonts w:hint="default" w:ascii="Times New Roman" w:hAnsi="Times New Roman" w:cs="Times New Roman"/>
                <w:bCs/>
                <w:spacing w:val="-10"/>
                <w:szCs w:val="21"/>
              </w:rPr>
              <w:t>委托有危废资质单位处置</w:t>
            </w:r>
          </w:p>
        </w:tc>
        <w:tc>
          <w:tcPr>
            <w:tcW w:w="297" w:type="pct"/>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316" w:type="pct"/>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1.5</w:t>
            </w:r>
          </w:p>
        </w:tc>
        <w:tc>
          <w:tcPr>
            <w:tcW w:w="1644" w:type="pct"/>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color w:val="auto"/>
                <w:sz w:val="21"/>
                <w:szCs w:val="21"/>
                <w:highlight w:val="none"/>
              </w:rPr>
              <w:t>《危险废物贮存污染控制标准》</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GB18597-20</w:t>
            </w:r>
            <w:r>
              <w:rPr>
                <w:rFonts w:hint="eastAsia" w:ascii="Times New Roman" w:hAnsi="Times New Roman" w:cs="Times New Roman"/>
                <w:color w:val="auto"/>
                <w:sz w:val="21"/>
                <w:szCs w:val="21"/>
                <w:highlight w:val="none"/>
                <w:lang w:val="en-US" w:eastAsia="zh-CN"/>
              </w:rPr>
              <w:t>23</w:t>
            </w:r>
            <w:r>
              <w:rPr>
                <w:rFonts w:hint="eastAsia" w:ascii="Times New Roman" w:hAnsi="Times New Roman"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54" w:hRule="atLeast"/>
          <w:jc w:val="center"/>
        </w:trPr>
        <w:tc>
          <w:tcPr>
            <w:tcW w:w="205" w:type="pct"/>
            <w:vMerge w:val="continue"/>
            <w:noWrap w:val="0"/>
            <w:vAlign w:val="center"/>
          </w:tcPr>
          <w:p>
            <w:pPr>
              <w:spacing w:line="240" w:lineRule="atLeast"/>
              <w:jc w:val="center"/>
              <w:rPr>
                <w:rFonts w:hint="default" w:ascii="Times New Roman" w:hAnsi="Times New Roman" w:cs="Times New Roman"/>
                <w:szCs w:val="21"/>
              </w:rPr>
            </w:pPr>
          </w:p>
        </w:tc>
        <w:tc>
          <w:tcPr>
            <w:tcW w:w="535" w:type="pct"/>
            <w:noWrap w:val="0"/>
            <w:vAlign w:val="center"/>
          </w:tcPr>
          <w:p>
            <w:pPr>
              <w:jc w:val="center"/>
              <w:rPr>
                <w:rFonts w:hint="default" w:ascii="Times New Roman" w:hAnsi="Times New Roman" w:cs="Times New Roman"/>
              </w:rPr>
            </w:pPr>
            <w:r>
              <w:rPr>
                <w:rFonts w:hint="default" w:ascii="Times New Roman" w:hAnsi="Times New Roman" w:cs="Times New Roman"/>
                <w:bCs/>
                <w:spacing w:val="-10"/>
                <w:szCs w:val="21"/>
              </w:rPr>
              <w:t>废UV灯管S4</w:t>
            </w:r>
          </w:p>
        </w:tc>
        <w:tc>
          <w:tcPr>
            <w:tcW w:w="2001" w:type="pct"/>
            <w:noWrap w:val="0"/>
            <w:vAlign w:val="center"/>
          </w:tcPr>
          <w:p>
            <w:pPr>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消毒后暂存危废暂存间</w:t>
            </w:r>
            <w:r>
              <w:rPr>
                <w:rFonts w:hint="default" w:ascii="Times New Roman" w:hAnsi="Times New Roman" w:cs="Times New Roman"/>
              </w:rPr>
              <w:t>（15m</w:t>
            </w:r>
            <w:r>
              <w:rPr>
                <w:rFonts w:hint="default" w:ascii="Times New Roman" w:hAnsi="Times New Roman" w:cs="Times New Roman"/>
                <w:vertAlign w:val="superscript"/>
              </w:rPr>
              <w:t>2</w:t>
            </w:r>
            <w:r>
              <w:rPr>
                <w:rFonts w:hint="default" w:ascii="Times New Roman" w:hAnsi="Times New Roman" w:cs="Times New Roman"/>
              </w:rPr>
              <w:t>），</w:t>
            </w:r>
            <w:r>
              <w:rPr>
                <w:rFonts w:hint="default" w:ascii="Times New Roman" w:hAnsi="Times New Roman" w:cs="Times New Roman"/>
                <w:bCs/>
                <w:spacing w:val="-10"/>
                <w:szCs w:val="21"/>
              </w:rPr>
              <w:t>委托有危废资质单位处置</w:t>
            </w:r>
          </w:p>
        </w:tc>
        <w:tc>
          <w:tcPr>
            <w:tcW w:w="297" w:type="pct"/>
            <w:vMerge w:val="continue"/>
            <w:noWrap w:val="0"/>
            <w:vAlign w:val="center"/>
          </w:tcPr>
          <w:p>
            <w:pPr>
              <w:jc w:val="center"/>
              <w:rPr>
                <w:rFonts w:hint="default" w:ascii="Times New Roman" w:hAnsi="Times New Roman" w:cs="Times New Roman"/>
                <w:szCs w:val="21"/>
              </w:rPr>
            </w:pPr>
          </w:p>
        </w:tc>
        <w:tc>
          <w:tcPr>
            <w:tcW w:w="316" w:type="pct"/>
            <w:vMerge w:val="continue"/>
            <w:noWrap w:val="0"/>
            <w:vAlign w:val="center"/>
          </w:tcPr>
          <w:p>
            <w:pPr>
              <w:jc w:val="center"/>
              <w:rPr>
                <w:rFonts w:hint="default" w:ascii="Times New Roman" w:hAnsi="Times New Roman" w:cs="Times New Roman"/>
                <w:szCs w:val="21"/>
              </w:rPr>
            </w:pPr>
          </w:p>
        </w:tc>
        <w:tc>
          <w:tcPr>
            <w:tcW w:w="1644" w:type="pct"/>
            <w:vMerge w:val="continue"/>
            <w:noWrap w:val="0"/>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54" w:hRule="atLeast"/>
          <w:jc w:val="center"/>
        </w:trPr>
        <w:tc>
          <w:tcPr>
            <w:tcW w:w="205" w:type="pct"/>
            <w:vMerge w:val="continue"/>
            <w:noWrap w:val="0"/>
            <w:vAlign w:val="center"/>
          </w:tcPr>
          <w:p>
            <w:pPr>
              <w:spacing w:line="240" w:lineRule="atLeast"/>
              <w:jc w:val="center"/>
              <w:rPr>
                <w:rFonts w:hint="default" w:ascii="Times New Roman" w:hAnsi="Times New Roman" w:cs="Times New Roman"/>
                <w:szCs w:val="21"/>
              </w:rPr>
            </w:pPr>
          </w:p>
        </w:tc>
        <w:tc>
          <w:tcPr>
            <w:tcW w:w="535" w:type="pct"/>
            <w:noWrap w:val="0"/>
            <w:vAlign w:val="center"/>
          </w:tcPr>
          <w:p>
            <w:pPr>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污水处理设施污泥S5</w:t>
            </w:r>
          </w:p>
        </w:tc>
        <w:tc>
          <w:tcPr>
            <w:tcW w:w="2001" w:type="pct"/>
            <w:noWrap w:val="0"/>
            <w:vAlign w:val="center"/>
          </w:tcPr>
          <w:p>
            <w:pPr>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消毒后暂存危废暂存间</w:t>
            </w:r>
            <w:r>
              <w:rPr>
                <w:rFonts w:hint="default" w:ascii="Times New Roman" w:hAnsi="Times New Roman" w:cs="Times New Roman"/>
              </w:rPr>
              <w:t>（15m</w:t>
            </w:r>
            <w:r>
              <w:rPr>
                <w:rFonts w:hint="default" w:ascii="Times New Roman" w:hAnsi="Times New Roman" w:cs="Times New Roman"/>
                <w:vertAlign w:val="superscript"/>
              </w:rPr>
              <w:t>2</w:t>
            </w:r>
            <w:r>
              <w:rPr>
                <w:rFonts w:hint="default" w:ascii="Times New Roman" w:hAnsi="Times New Roman" w:cs="Times New Roman"/>
              </w:rPr>
              <w:t>），</w:t>
            </w:r>
            <w:r>
              <w:rPr>
                <w:rFonts w:hint="default" w:ascii="Times New Roman" w:hAnsi="Times New Roman" w:cs="Times New Roman"/>
                <w:bCs/>
                <w:spacing w:val="-10"/>
                <w:szCs w:val="21"/>
              </w:rPr>
              <w:t>委托有危废资质单位处置</w:t>
            </w:r>
          </w:p>
        </w:tc>
        <w:tc>
          <w:tcPr>
            <w:tcW w:w="297" w:type="pct"/>
            <w:vMerge w:val="continue"/>
            <w:noWrap w:val="0"/>
            <w:vAlign w:val="center"/>
          </w:tcPr>
          <w:p>
            <w:pPr>
              <w:jc w:val="center"/>
              <w:rPr>
                <w:rFonts w:hint="default" w:ascii="Times New Roman" w:hAnsi="Times New Roman" w:cs="Times New Roman"/>
                <w:szCs w:val="21"/>
              </w:rPr>
            </w:pPr>
          </w:p>
        </w:tc>
        <w:tc>
          <w:tcPr>
            <w:tcW w:w="316" w:type="pct"/>
            <w:vMerge w:val="continue"/>
            <w:noWrap w:val="0"/>
            <w:vAlign w:val="center"/>
          </w:tcPr>
          <w:p>
            <w:pPr>
              <w:jc w:val="center"/>
              <w:rPr>
                <w:rFonts w:hint="default" w:ascii="Times New Roman" w:hAnsi="Times New Roman" w:cs="Times New Roman"/>
                <w:szCs w:val="21"/>
              </w:rPr>
            </w:pPr>
          </w:p>
        </w:tc>
        <w:tc>
          <w:tcPr>
            <w:tcW w:w="1644" w:type="pct"/>
            <w:vMerge w:val="continue"/>
            <w:noWrap w:val="0"/>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9" w:hRule="atLeast"/>
          <w:jc w:val="center"/>
        </w:trPr>
        <w:tc>
          <w:tcPr>
            <w:tcW w:w="205" w:type="pct"/>
            <w:vMerge w:val="continue"/>
            <w:noWrap w:val="0"/>
            <w:vAlign w:val="center"/>
          </w:tcPr>
          <w:p>
            <w:pPr>
              <w:jc w:val="center"/>
              <w:rPr>
                <w:rFonts w:hint="default" w:ascii="Times New Roman" w:hAnsi="Times New Roman" w:cs="Times New Roman"/>
                <w:szCs w:val="21"/>
              </w:rPr>
            </w:pPr>
          </w:p>
        </w:tc>
        <w:tc>
          <w:tcPr>
            <w:tcW w:w="535" w:type="pct"/>
            <w:noWrap w:val="0"/>
            <w:vAlign w:val="center"/>
          </w:tcPr>
          <w:p>
            <w:pPr>
              <w:jc w:val="center"/>
              <w:rPr>
                <w:rFonts w:hint="default" w:ascii="Times New Roman" w:hAnsi="Times New Roman" w:cs="Times New Roman"/>
              </w:rPr>
            </w:pPr>
            <w:r>
              <w:rPr>
                <w:rFonts w:hint="default" w:ascii="Times New Roman" w:hAnsi="Times New Roman" w:cs="Times New Roman"/>
                <w:bCs/>
                <w:spacing w:val="-10"/>
                <w:szCs w:val="21"/>
              </w:rPr>
              <w:t>废周转箱</w:t>
            </w:r>
            <w:r>
              <w:rPr>
                <w:rFonts w:hint="default" w:ascii="Times New Roman" w:hAnsi="Times New Roman" w:cs="Times New Roman"/>
                <w:szCs w:val="21"/>
              </w:rPr>
              <w:t>及废一次性防护用品</w:t>
            </w:r>
            <w:r>
              <w:rPr>
                <w:rFonts w:hint="default" w:ascii="Times New Roman" w:hAnsi="Times New Roman" w:cs="Times New Roman"/>
                <w:bCs/>
                <w:spacing w:val="-10"/>
                <w:szCs w:val="21"/>
              </w:rPr>
              <w:t>S7</w:t>
            </w:r>
          </w:p>
        </w:tc>
        <w:tc>
          <w:tcPr>
            <w:tcW w:w="2001" w:type="pct"/>
            <w:noWrap w:val="0"/>
            <w:vAlign w:val="center"/>
          </w:tcPr>
          <w:p>
            <w:pPr>
              <w:jc w:val="center"/>
              <w:rPr>
                <w:rFonts w:hint="default" w:ascii="Times New Roman" w:hAnsi="Times New Roman" w:cs="Times New Roman"/>
              </w:rPr>
            </w:pPr>
            <w:r>
              <w:rPr>
                <w:rFonts w:hint="default" w:ascii="Times New Roman" w:hAnsi="Times New Roman" w:cs="Times New Roman"/>
              </w:rPr>
              <w:t>进入本项目医废处理中心</w:t>
            </w:r>
            <w:r>
              <w:rPr>
                <w:rFonts w:hint="eastAsia" w:ascii="Times New Roman" w:hAnsi="Times New Roman" w:cs="Times New Roman"/>
                <w:lang w:val="en-US" w:eastAsia="zh-CN"/>
              </w:rPr>
              <w:t>按照</w:t>
            </w:r>
            <w:r>
              <w:rPr>
                <w:rFonts w:hint="default" w:ascii="Times New Roman" w:hAnsi="Times New Roman" w:eastAsia="宋体" w:cs="Times New Roman"/>
                <w:sz w:val="21"/>
                <w:szCs w:val="21"/>
              </w:rPr>
              <w:t>《医疗废物</w:t>
            </w:r>
            <w:r>
              <w:rPr>
                <w:rFonts w:hint="default" w:ascii="Times New Roman" w:hAnsi="Times New Roman" w:eastAsia="宋体" w:cs="Times New Roman"/>
                <w:sz w:val="21"/>
                <w:szCs w:val="21"/>
                <w:lang w:val="en-US" w:eastAsia="zh-CN"/>
              </w:rPr>
              <w:t>高温蒸汽</w:t>
            </w:r>
            <w:r>
              <w:rPr>
                <w:rFonts w:hint="default" w:ascii="Times New Roman" w:hAnsi="Times New Roman" w:eastAsia="宋体" w:cs="Times New Roman"/>
                <w:sz w:val="21"/>
                <w:szCs w:val="21"/>
              </w:rPr>
              <w:t>消毒集中处理工程技术规范》 （</w:t>
            </w:r>
            <w:r>
              <w:rPr>
                <w:rFonts w:hint="default" w:ascii="Times New Roman" w:hAnsi="Times New Roman" w:eastAsia="宋体" w:cs="Times New Roman"/>
                <w:b w:val="0"/>
                <w:bCs w:val="0"/>
                <w:sz w:val="21"/>
                <w:szCs w:val="21"/>
                <w:lang w:val="en-US" w:eastAsia="zh-CN"/>
              </w:rPr>
              <w:t>HJ276-2021</w:t>
            </w:r>
            <w:r>
              <w:rPr>
                <w:rFonts w:hint="default" w:ascii="Times New Roman" w:hAnsi="Times New Roman" w:eastAsia="宋体" w:cs="Times New Roman"/>
                <w:sz w:val="21"/>
                <w:szCs w:val="21"/>
              </w:rPr>
              <w:t>）</w:t>
            </w:r>
            <w:r>
              <w:rPr>
                <w:rFonts w:hint="default" w:ascii="Times New Roman" w:hAnsi="Times New Roman" w:cs="Times New Roman"/>
              </w:rPr>
              <w:t>处理后一并进入</w:t>
            </w:r>
            <w:r>
              <w:rPr>
                <w:rFonts w:hint="eastAsia" w:ascii="Times New Roman" w:hAnsi="Times New Roman" w:cs="Times New Roman"/>
                <w:lang w:val="en-US" w:eastAsia="zh-CN"/>
              </w:rPr>
              <w:t>阿尔山市</w:t>
            </w:r>
            <w:r>
              <w:rPr>
                <w:rFonts w:hint="default" w:ascii="Times New Roman" w:hAnsi="Times New Roman" w:cs="Times New Roman"/>
              </w:rPr>
              <w:t>生活垃圾填埋场填埋处置</w:t>
            </w:r>
          </w:p>
        </w:tc>
        <w:tc>
          <w:tcPr>
            <w:tcW w:w="297" w:type="pct"/>
            <w:vMerge w:val="continue"/>
            <w:noWrap w:val="0"/>
            <w:vAlign w:val="center"/>
          </w:tcPr>
          <w:p>
            <w:pPr>
              <w:jc w:val="center"/>
              <w:rPr>
                <w:rFonts w:hint="default" w:ascii="Times New Roman" w:hAnsi="Times New Roman" w:cs="Times New Roman"/>
                <w:szCs w:val="21"/>
              </w:rPr>
            </w:pPr>
          </w:p>
        </w:tc>
        <w:tc>
          <w:tcPr>
            <w:tcW w:w="316" w:type="pct"/>
            <w:vMerge w:val="continue"/>
            <w:noWrap w:val="0"/>
            <w:vAlign w:val="center"/>
          </w:tcPr>
          <w:p>
            <w:pPr>
              <w:jc w:val="center"/>
              <w:rPr>
                <w:rFonts w:hint="default" w:ascii="Times New Roman" w:hAnsi="Times New Roman" w:cs="Times New Roman"/>
                <w:szCs w:val="21"/>
              </w:rPr>
            </w:pPr>
          </w:p>
        </w:tc>
        <w:tc>
          <w:tcPr>
            <w:tcW w:w="1644" w:type="pct"/>
            <w:vMerge w:val="continue"/>
            <w:noWrap w:val="0"/>
            <w:vAlign w:val="top"/>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9" w:hRule="atLeast"/>
          <w:jc w:val="center"/>
        </w:trPr>
        <w:tc>
          <w:tcPr>
            <w:tcW w:w="205" w:type="pct"/>
            <w:vMerge w:val="continue"/>
            <w:noWrap w:val="0"/>
            <w:vAlign w:val="center"/>
          </w:tcPr>
          <w:p>
            <w:pPr>
              <w:jc w:val="center"/>
              <w:rPr>
                <w:rFonts w:hint="default" w:ascii="Times New Roman" w:hAnsi="Times New Roman" w:cs="Times New Roman"/>
                <w:szCs w:val="21"/>
              </w:rPr>
            </w:pPr>
          </w:p>
        </w:tc>
        <w:tc>
          <w:tcPr>
            <w:tcW w:w="535" w:type="pct"/>
            <w:noWrap w:val="0"/>
            <w:vAlign w:val="center"/>
          </w:tcPr>
          <w:p>
            <w:pPr>
              <w:jc w:val="center"/>
              <w:rPr>
                <w:rFonts w:hint="default" w:ascii="Times New Roman" w:hAnsi="Times New Roman" w:cs="Times New Roman"/>
              </w:rPr>
            </w:pPr>
            <w:r>
              <w:rPr>
                <w:rFonts w:hint="default" w:ascii="Times New Roman" w:hAnsi="Times New Roman" w:cs="Times New Roman"/>
              </w:rPr>
              <w:t>生活垃圾</w:t>
            </w:r>
          </w:p>
        </w:tc>
        <w:tc>
          <w:tcPr>
            <w:tcW w:w="2001" w:type="pct"/>
            <w:noWrap w:val="0"/>
            <w:vAlign w:val="center"/>
          </w:tcPr>
          <w:p>
            <w:pPr>
              <w:jc w:val="center"/>
              <w:rPr>
                <w:rFonts w:hint="default" w:ascii="Times New Roman" w:hAnsi="Times New Roman" w:cs="Times New Roman"/>
              </w:rPr>
            </w:pPr>
            <w:r>
              <w:rPr>
                <w:rFonts w:hint="default" w:ascii="Times New Roman" w:hAnsi="Times New Roman" w:cs="Times New Roman"/>
                <w:bCs/>
                <w:spacing w:val="-10"/>
                <w:szCs w:val="21"/>
              </w:rPr>
              <w:t>进入</w:t>
            </w:r>
            <w:r>
              <w:rPr>
                <w:rFonts w:hint="eastAsia" w:ascii="Times New Roman" w:hAnsi="Times New Roman" w:cs="Times New Roman"/>
                <w:bCs/>
                <w:spacing w:val="-10"/>
                <w:szCs w:val="21"/>
                <w:lang w:val="en-US" w:eastAsia="zh-CN"/>
              </w:rPr>
              <w:t>阿尔山市</w:t>
            </w:r>
            <w:r>
              <w:rPr>
                <w:rFonts w:hint="default" w:ascii="Times New Roman" w:hAnsi="Times New Roman" w:cs="Times New Roman"/>
                <w:bCs/>
                <w:spacing w:val="-10"/>
                <w:szCs w:val="21"/>
              </w:rPr>
              <w:t>生活垃圾填埋场填埋处理</w:t>
            </w:r>
          </w:p>
        </w:tc>
        <w:tc>
          <w:tcPr>
            <w:tcW w:w="297"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3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0.05</w:t>
            </w:r>
          </w:p>
        </w:tc>
        <w:tc>
          <w:tcPr>
            <w:tcW w:w="164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妥善处置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650" w:hRule="atLeast"/>
          <w:jc w:val="center"/>
        </w:trPr>
        <w:tc>
          <w:tcPr>
            <w:tcW w:w="205" w:type="pct"/>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地下水</w:t>
            </w:r>
          </w:p>
        </w:tc>
        <w:tc>
          <w:tcPr>
            <w:tcW w:w="53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防渗</w:t>
            </w:r>
          </w:p>
        </w:tc>
        <w:tc>
          <w:tcPr>
            <w:tcW w:w="2001" w:type="pct"/>
            <w:noWrap w:val="0"/>
            <w:vAlign w:val="center"/>
          </w:tcPr>
          <w:p>
            <w:pPr>
              <w:jc w:val="center"/>
              <w:rPr>
                <w:rFonts w:hint="default" w:ascii="Times New Roman" w:hAnsi="Times New Roman" w:cs="Times New Roman"/>
                <w:szCs w:val="21"/>
              </w:rPr>
            </w:pPr>
            <w:r>
              <w:rPr>
                <w:rFonts w:hint="default" w:ascii="Times New Roman" w:hAnsi="Times New Roman" w:cs="Times New Roman"/>
                <w:kern w:val="0"/>
                <w:szCs w:val="21"/>
                <w:lang w:bidi="ar"/>
              </w:rPr>
              <w:t>重点防渗区：处理车间上料</w:t>
            </w:r>
            <w:r>
              <w:rPr>
                <w:rFonts w:hint="eastAsia" w:ascii="Times New Roman" w:hAnsi="Times New Roman" w:cs="Times New Roman"/>
                <w:kern w:val="0"/>
                <w:szCs w:val="21"/>
                <w:lang w:val="en-US" w:eastAsia="zh-CN" w:bidi="ar"/>
              </w:rPr>
              <w:t>区</w:t>
            </w:r>
            <w:r>
              <w:rPr>
                <w:rFonts w:hint="default" w:ascii="Times New Roman" w:hAnsi="Times New Roman" w:cs="Times New Roman"/>
                <w:kern w:val="0"/>
                <w:szCs w:val="21"/>
                <w:lang w:bidi="ar"/>
              </w:rPr>
              <w:t>、</w:t>
            </w:r>
            <w:r>
              <w:rPr>
                <w:rFonts w:hint="eastAsia" w:ascii="Times New Roman" w:hAnsi="Times New Roman" w:cs="Times New Roman"/>
                <w:kern w:val="0"/>
                <w:szCs w:val="21"/>
                <w:lang w:val="en-US" w:eastAsia="zh-CN" w:bidi="ar"/>
              </w:rPr>
              <w:t>高温蒸汽</w:t>
            </w:r>
            <w:r>
              <w:rPr>
                <w:rFonts w:hint="default" w:ascii="Times New Roman" w:hAnsi="Times New Roman" w:cs="Times New Roman"/>
                <w:kern w:val="0"/>
                <w:szCs w:val="21"/>
                <w:lang w:bidi="ar"/>
              </w:rPr>
              <w:t>处理系统区、污水处理区、周转桶消毒清洗池、洗车间、周转桶晾晒间、冷库、消毒物资</w:t>
            </w:r>
            <w:r>
              <w:rPr>
                <w:rFonts w:hint="eastAsia" w:ascii="Times New Roman" w:hAnsi="Times New Roman" w:cs="Times New Roman"/>
                <w:kern w:val="0"/>
                <w:szCs w:val="21"/>
                <w:lang w:val="en-US" w:eastAsia="zh-CN" w:bidi="ar"/>
              </w:rPr>
              <w:t>间</w:t>
            </w:r>
            <w:r>
              <w:rPr>
                <w:rFonts w:hint="default" w:ascii="Times New Roman" w:hAnsi="Times New Roman" w:cs="Times New Roman"/>
                <w:kern w:val="0"/>
                <w:szCs w:val="21"/>
                <w:lang w:bidi="ar"/>
              </w:rPr>
              <w:t>、危废暂存间、化粪池、事故池；一般防渗区：处理车间出料</w:t>
            </w:r>
            <w:r>
              <w:rPr>
                <w:rFonts w:hint="eastAsia" w:ascii="Times New Roman" w:hAnsi="Times New Roman" w:cs="Times New Roman"/>
                <w:kern w:val="0"/>
                <w:szCs w:val="21"/>
                <w:lang w:val="en-US" w:eastAsia="zh-CN" w:bidi="ar"/>
              </w:rPr>
              <w:t>区</w:t>
            </w:r>
            <w:r>
              <w:rPr>
                <w:rFonts w:hint="default" w:ascii="Times New Roman" w:hAnsi="Times New Roman" w:cs="Times New Roman"/>
                <w:kern w:val="0"/>
                <w:szCs w:val="21"/>
                <w:lang w:bidi="ar"/>
              </w:rPr>
              <w:t>、消防水池；简单防渗区：配电室、中控室、更衣淋浴间、车库、卫生间、办公生活管理区、厂区道路等。重点防渗区防渗层的防渗性能应达到等效黏土防渗层</w:t>
            </w:r>
            <w:r>
              <w:rPr>
                <w:rFonts w:hint="default" w:ascii="Times New Roman" w:hAnsi="Times New Roman" w:eastAsia="TimesNewRomanPSMT" w:cs="Times New Roman"/>
                <w:kern w:val="0"/>
                <w:szCs w:val="21"/>
                <w:lang w:bidi="ar"/>
              </w:rPr>
              <w:t>Mb</w:t>
            </w:r>
            <w:r>
              <w:rPr>
                <w:rFonts w:hint="default" w:ascii="Times New Roman" w:hAnsi="Times New Roman" w:cs="Times New Roman"/>
                <w:kern w:val="0"/>
                <w:szCs w:val="21"/>
                <w:lang w:bidi="ar"/>
              </w:rPr>
              <w:t>≥</w:t>
            </w:r>
            <w:r>
              <w:rPr>
                <w:rFonts w:hint="default" w:ascii="Times New Roman" w:hAnsi="Times New Roman" w:eastAsia="TimesNewRomanPSMT" w:cs="Times New Roman"/>
                <w:kern w:val="0"/>
                <w:szCs w:val="21"/>
                <w:lang w:bidi="ar"/>
              </w:rPr>
              <w:t>6.0m</w:t>
            </w:r>
            <w:r>
              <w:rPr>
                <w:rFonts w:hint="default" w:ascii="Times New Roman" w:hAnsi="Times New Roman" w:cs="Times New Roman"/>
                <w:kern w:val="0"/>
                <w:szCs w:val="21"/>
                <w:lang w:bidi="ar"/>
              </w:rPr>
              <w:t>，渗透系数</w:t>
            </w:r>
            <w:r>
              <w:rPr>
                <w:rFonts w:hint="default" w:ascii="Times New Roman" w:hAnsi="Times New Roman" w:eastAsia="TimesNewRomanPSMT" w:cs="Times New Roman"/>
                <w:kern w:val="0"/>
                <w:szCs w:val="21"/>
                <w:lang w:bidi="ar"/>
              </w:rPr>
              <w:t>K</w:t>
            </w:r>
            <w:r>
              <w:rPr>
                <w:rFonts w:hint="default" w:ascii="Times New Roman" w:hAnsi="Times New Roman" w:cs="Times New Roman"/>
                <w:kern w:val="0"/>
                <w:szCs w:val="21"/>
                <w:lang w:bidi="ar"/>
              </w:rPr>
              <w:t>≤</w:t>
            </w:r>
            <w:r>
              <w:rPr>
                <w:rFonts w:hint="default" w:ascii="Times New Roman" w:hAnsi="Times New Roman" w:eastAsia="TimesNewRomanPSMT" w:cs="Times New Roman"/>
                <w:kern w:val="0"/>
                <w:szCs w:val="21"/>
                <w:lang w:bidi="ar"/>
              </w:rPr>
              <w:t>1×10</w:t>
            </w:r>
            <w:r>
              <w:rPr>
                <w:rFonts w:hint="default" w:ascii="Times New Roman" w:hAnsi="Times New Roman" w:eastAsia="TimesNewRomanPSMT" w:cs="Times New Roman"/>
                <w:kern w:val="0"/>
                <w:szCs w:val="21"/>
                <w:vertAlign w:val="superscript"/>
                <w:lang w:bidi="ar"/>
              </w:rPr>
              <w:t>-</w:t>
            </w:r>
            <w:r>
              <w:rPr>
                <w:rFonts w:hint="eastAsia" w:ascii="Times New Roman" w:hAnsi="Times New Roman" w:eastAsia="宋体" w:cs="Times New Roman"/>
                <w:kern w:val="0"/>
                <w:szCs w:val="21"/>
                <w:vertAlign w:val="superscript"/>
                <w:lang w:val="en-US" w:eastAsia="zh-CN" w:bidi="ar"/>
              </w:rPr>
              <w:t>10</w:t>
            </w:r>
            <w:r>
              <w:rPr>
                <w:rFonts w:hint="default" w:ascii="Times New Roman" w:hAnsi="Times New Roman" w:eastAsia="TimesNewRomanPSMT" w:cs="Times New Roman"/>
                <w:kern w:val="0"/>
                <w:szCs w:val="21"/>
                <w:lang w:bidi="ar"/>
              </w:rPr>
              <w:t xml:space="preserve">cm/s </w:t>
            </w:r>
            <w:r>
              <w:rPr>
                <w:rFonts w:hint="default" w:ascii="Times New Roman" w:hAnsi="Times New Roman" w:cs="Times New Roman"/>
                <w:kern w:val="0"/>
                <w:szCs w:val="21"/>
                <w:lang w:bidi="ar"/>
              </w:rPr>
              <w:t xml:space="preserve">；一般防渗区的防渗性能应达到等效黏土防渗层 </w:t>
            </w:r>
            <w:r>
              <w:rPr>
                <w:rFonts w:hint="default" w:ascii="Times New Roman" w:hAnsi="Times New Roman" w:eastAsia="TimesNewRomanPSMT" w:cs="Times New Roman"/>
                <w:kern w:val="0"/>
                <w:szCs w:val="21"/>
                <w:lang w:bidi="ar"/>
              </w:rPr>
              <w:t>Mb</w:t>
            </w:r>
            <w:r>
              <w:rPr>
                <w:rFonts w:hint="default" w:ascii="Times New Roman" w:hAnsi="Times New Roman" w:cs="Times New Roman"/>
                <w:kern w:val="0"/>
                <w:szCs w:val="21"/>
                <w:lang w:bidi="ar"/>
              </w:rPr>
              <w:t>≥</w:t>
            </w:r>
            <w:r>
              <w:rPr>
                <w:rFonts w:hint="default" w:ascii="Times New Roman" w:hAnsi="Times New Roman" w:eastAsia="TimesNewRomanPSMT" w:cs="Times New Roman"/>
                <w:kern w:val="0"/>
                <w:szCs w:val="21"/>
                <w:lang w:bidi="ar"/>
              </w:rPr>
              <w:t>1.5m</w:t>
            </w:r>
            <w:r>
              <w:rPr>
                <w:rFonts w:hint="default" w:ascii="Times New Roman" w:hAnsi="Times New Roman" w:cs="Times New Roman"/>
                <w:kern w:val="0"/>
                <w:szCs w:val="21"/>
                <w:lang w:bidi="ar"/>
              </w:rPr>
              <w:t>，渗透系数</w:t>
            </w:r>
            <w:r>
              <w:rPr>
                <w:rFonts w:hint="default" w:ascii="Times New Roman" w:hAnsi="Times New Roman" w:eastAsia="TimesNewRomanPSMT" w:cs="Times New Roman"/>
                <w:kern w:val="0"/>
                <w:szCs w:val="21"/>
                <w:lang w:bidi="ar"/>
              </w:rPr>
              <w:t>K</w:t>
            </w:r>
            <w:r>
              <w:rPr>
                <w:rFonts w:hint="default" w:ascii="Times New Roman" w:hAnsi="Times New Roman" w:cs="Times New Roman"/>
                <w:kern w:val="0"/>
                <w:szCs w:val="21"/>
                <w:lang w:bidi="ar"/>
              </w:rPr>
              <w:t>≤</w:t>
            </w:r>
            <w:r>
              <w:rPr>
                <w:rFonts w:hint="default" w:ascii="Times New Roman" w:hAnsi="Times New Roman" w:eastAsia="TimesNewRomanPSMT" w:cs="Times New Roman"/>
                <w:kern w:val="0"/>
                <w:szCs w:val="21"/>
                <w:lang w:bidi="ar"/>
              </w:rPr>
              <w:t>1×10</w:t>
            </w:r>
            <w:r>
              <w:rPr>
                <w:rFonts w:hint="default" w:ascii="Times New Roman" w:hAnsi="Times New Roman" w:eastAsia="TimesNewRomanPSMT" w:cs="Times New Roman"/>
                <w:kern w:val="0"/>
                <w:szCs w:val="21"/>
                <w:vertAlign w:val="superscript"/>
                <w:lang w:bidi="ar"/>
              </w:rPr>
              <w:t>-7</w:t>
            </w:r>
            <w:r>
              <w:rPr>
                <w:rFonts w:hint="default" w:ascii="Times New Roman" w:hAnsi="Times New Roman" w:eastAsia="TimesNewRomanPSMT" w:cs="Times New Roman"/>
                <w:kern w:val="0"/>
                <w:szCs w:val="21"/>
                <w:lang w:bidi="ar"/>
              </w:rPr>
              <w:t>cm/s</w:t>
            </w:r>
            <w:r>
              <w:rPr>
                <w:rFonts w:hint="default" w:ascii="Times New Roman" w:hAnsi="Times New Roman" w:cs="Times New Roman"/>
                <w:kern w:val="0"/>
                <w:szCs w:val="21"/>
                <w:lang w:bidi="ar"/>
              </w:rPr>
              <w:t>；简单防渗区采用水泥硬化</w:t>
            </w:r>
          </w:p>
        </w:tc>
        <w:tc>
          <w:tcPr>
            <w:tcW w:w="297"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3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13.2</w:t>
            </w:r>
          </w:p>
        </w:tc>
        <w:tc>
          <w:tcPr>
            <w:tcW w:w="1644" w:type="pct"/>
            <w:vMerge w:val="restart"/>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rPr>
              <w:t>《环境影响评价技术导则 地下水环境》一般防渗区防渗；</w:t>
            </w:r>
            <w:r>
              <w:rPr>
                <w:rFonts w:hint="default" w:ascii="Times New Roman" w:hAnsi="Times New Roman" w:cs="Times New Roman"/>
                <w:color w:val="auto"/>
                <w:sz w:val="21"/>
                <w:szCs w:val="21"/>
                <w:highlight w:val="none"/>
              </w:rPr>
              <w:t>《危险废物贮存污染控制标准》</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GB18597-20</w:t>
            </w:r>
            <w:r>
              <w:rPr>
                <w:rFonts w:hint="eastAsia" w:ascii="Times New Roman" w:hAnsi="Times New Roman" w:cs="Times New Roman"/>
                <w:color w:val="auto"/>
                <w:sz w:val="21"/>
                <w:szCs w:val="21"/>
                <w:highlight w:val="none"/>
                <w:lang w:val="en-US" w:eastAsia="zh-CN"/>
              </w:rPr>
              <w:t>23</w:t>
            </w:r>
            <w:r>
              <w:rPr>
                <w:rFonts w:hint="eastAsia" w:ascii="Times New Roman" w:hAnsi="Times New Roman"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9" w:hRule="atLeast"/>
          <w:jc w:val="center"/>
        </w:trPr>
        <w:tc>
          <w:tcPr>
            <w:tcW w:w="205" w:type="pct"/>
            <w:vMerge w:val="continue"/>
            <w:noWrap w:val="0"/>
            <w:vAlign w:val="center"/>
          </w:tcPr>
          <w:p>
            <w:pPr>
              <w:jc w:val="center"/>
              <w:rPr>
                <w:rFonts w:hint="default" w:ascii="Times New Roman" w:hAnsi="Times New Roman" w:cs="Times New Roman"/>
                <w:szCs w:val="21"/>
              </w:rPr>
            </w:pPr>
          </w:p>
        </w:tc>
        <w:tc>
          <w:tcPr>
            <w:tcW w:w="53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监测井</w:t>
            </w:r>
          </w:p>
        </w:tc>
        <w:tc>
          <w:tcPr>
            <w:tcW w:w="2001" w:type="pct"/>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上游设置1眼对照井，下游设置2眼监测井</w:t>
            </w:r>
          </w:p>
        </w:tc>
        <w:tc>
          <w:tcPr>
            <w:tcW w:w="297" w:type="pct"/>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316" w:type="pct"/>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644" w:type="pct"/>
            <w:vMerge w:val="continue"/>
            <w:noWrap w:val="0"/>
            <w:vAlign w:val="top"/>
          </w:tcPr>
          <w:p>
            <w:pPr>
              <w:jc w:val="center"/>
              <w:rPr>
                <w:rFonts w:hint="default"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9" w:hRule="atLeast"/>
          <w:jc w:val="center"/>
        </w:trPr>
        <w:tc>
          <w:tcPr>
            <w:tcW w:w="740" w:type="pct"/>
            <w:gridSpan w:val="2"/>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风险防范措施</w:t>
            </w:r>
          </w:p>
        </w:tc>
        <w:tc>
          <w:tcPr>
            <w:tcW w:w="2001" w:type="pct"/>
            <w:noWrap w:val="0"/>
            <w:vAlign w:val="center"/>
          </w:tcPr>
          <w:p>
            <w:pPr>
              <w:jc w:val="center"/>
              <w:rPr>
                <w:rFonts w:hint="default" w:ascii="Times New Roman" w:hAnsi="Times New Roman" w:cs="Times New Roman"/>
                <w:color w:val="000000"/>
                <w:kern w:val="0"/>
                <w:szCs w:val="21"/>
              </w:rPr>
            </w:pPr>
            <w:r>
              <w:rPr>
                <w:rFonts w:hint="eastAsia" w:ascii="Times New Roman" w:hAnsi="Times New Roman" w:cs="Times New Roman"/>
                <w:color w:val="000000"/>
                <w:kern w:val="0"/>
                <w:szCs w:val="21"/>
                <w:lang w:val="en-US" w:eastAsia="zh-CN"/>
              </w:rPr>
              <w:t>玻璃钢污水罐</w:t>
            </w:r>
            <w:r>
              <w:rPr>
                <w:rFonts w:hint="default" w:ascii="Times New Roman" w:hAnsi="Times New Roman" w:cs="Times New Roman"/>
                <w:color w:val="000000"/>
                <w:kern w:val="0"/>
                <w:szCs w:val="21"/>
              </w:rPr>
              <w:t>（兼初期雨水收集），容积为</w:t>
            </w:r>
            <w:r>
              <w:rPr>
                <w:rFonts w:hint="eastAsia" w:ascii="Times New Roman" w:hAnsi="Times New Roman" w:cs="Times New Roman"/>
                <w:color w:val="000000"/>
                <w:kern w:val="0"/>
                <w:szCs w:val="21"/>
                <w:lang w:val="en-US" w:eastAsia="zh-CN"/>
              </w:rPr>
              <w:t>1</w:t>
            </w:r>
            <w:r>
              <w:rPr>
                <w:rFonts w:hint="default" w:ascii="Times New Roman" w:hAnsi="Times New Roman" w:cs="Times New Roman"/>
                <w:color w:val="000000"/>
                <w:kern w:val="0"/>
                <w:szCs w:val="21"/>
              </w:rPr>
              <w:t>0m</w:t>
            </w:r>
            <w:r>
              <w:rPr>
                <w:rFonts w:hint="default" w:ascii="Times New Roman" w:hAnsi="Times New Roman" w:cs="Times New Roman"/>
                <w:color w:val="000000"/>
                <w:kern w:val="0"/>
                <w:szCs w:val="21"/>
                <w:vertAlign w:val="superscript"/>
              </w:rPr>
              <w:t>3</w:t>
            </w:r>
            <w:r>
              <w:rPr>
                <w:rFonts w:hint="default" w:ascii="Times New Roman" w:hAnsi="Times New Roman" w:cs="Times New Roman"/>
                <w:color w:val="000000"/>
                <w:kern w:val="0"/>
                <w:szCs w:val="21"/>
              </w:rPr>
              <w:t>，</w:t>
            </w:r>
            <w:r>
              <w:rPr>
                <w:rFonts w:hint="default" w:ascii="Times New Roman" w:hAnsi="Times New Roman" w:cs="Times New Roman"/>
                <w:color w:val="000000"/>
                <w:kern w:val="0"/>
                <w:szCs w:val="21"/>
                <w:lang w:bidi="ar"/>
              </w:rPr>
              <w:t>防渗性能应达到等效黏土防渗层</w:t>
            </w:r>
            <w:r>
              <w:rPr>
                <w:rFonts w:hint="default" w:ascii="Times New Roman" w:hAnsi="Times New Roman" w:eastAsia="TimesNewRomanPSMT" w:cs="Times New Roman"/>
                <w:color w:val="000000"/>
                <w:kern w:val="0"/>
                <w:szCs w:val="21"/>
                <w:lang w:bidi="ar"/>
              </w:rPr>
              <w:t>Mb</w:t>
            </w:r>
            <w:r>
              <w:rPr>
                <w:rFonts w:hint="default" w:ascii="Times New Roman" w:hAnsi="Times New Roman" w:cs="Times New Roman"/>
                <w:color w:val="000000"/>
                <w:kern w:val="0"/>
                <w:szCs w:val="21"/>
                <w:lang w:bidi="ar"/>
              </w:rPr>
              <w:t>≥</w:t>
            </w:r>
            <w:r>
              <w:rPr>
                <w:rFonts w:hint="default" w:ascii="Times New Roman" w:hAnsi="Times New Roman" w:eastAsia="TimesNewRomanPSMT" w:cs="Times New Roman"/>
                <w:color w:val="000000"/>
                <w:kern w:val="0"/>
                <w:szCs w:val="21"/>
                <w:lang w:bidi="ar"/>
              </w:rPr>
              <w:t>6.0m</w:t>
            </w:r>
            <w:r>
              <w:rPr>
                <w:rFonts w:hint="default" w:ascii="Times New Roman" w:hAnsi="Times New Roman" w:cs="Times New Roman"/>
                <w:color w:val="000000"/>
                <w:kern w:val="0"/>
                <w:szCs w:val="21"/>
                <w:lang w:bidi="ar"/>
              </w:rPr>
              <w:t>，渗透系数</w:t>
            </w:r>
            <w:r>
              <w:rPr>
                <w:rFonts w:hint="default" w:ascii="Times New Roman" w:hAnsi="Times New Roman" w:eastAsia="TimesNewRomanPSMT" w:cs="Times New Roman"/>
                <w:color w:val="000000"/>
                <w:kern w:val="0"/>
                <w:szCs w:val="21"/>
                <w:lang w:bidi="ar"/>
              </w:rPr>
              <w:t>K</w:t>
            </w:r>
            <w:r>
              <w:rPr>
                <w:rFonts w:hint="default" w:ascii="Times New Roman" w:hAnsi="Times New Roman" w:cs="Times New Roman"/>
                <w:color w:val="000000"/>
                <w:kern w:val="0"/>
                <w:szCs w:val="21"/>
                <w:lang w:bidi="ar"/>
              </w:rPr>
              <w:t>≤</w:t>
            </w:r>
            <w:r>
              <w:rPr>
                <w:rFonts w:hint="default" w:ascii="Times New Roman" w:hAnsi="Times New Roman" w:eastAsia="TimesNewRomanPSMT" w:cs="Times New Roman"/>
                <w:color w:val="000000"/>
                <w:kern w:val="0"/>
                <w:szCs w:val="21"/>
                <w:lang w:bidi="ar"/>
              </w:rPr>
              <w:t>1×10</w:t>
            </w:r>
            <w:r>
              <w:rPr>
                <w:rFonts w:hint="default" w:ascii="Times New Roman" w:hAnsi="Times New Roman" w:eastAsia="TimesNewRomanPSMT" w:cs="Times New Roman"/>
                <w:color w:val="000000"/>
                <w:kern w:val="0"/>
                <w:szCs w:val="21"/>
                <w:vertAlign w:val="superscript"/>
                <w:lang w:bidi="ar"/>
              </w:rPr>
              <w:t>-7</w:t>
            </w:r>
            <w:r>
              <w:rPr>
                <w:rFonts w:hint="default" w:ascii="Times New Roman" w:hAnsi="Times New Roman" w:eastAsia="TimesNewRomanPSMT" w:cs="Times New Roman"/>
                <w:color w:val="000000"/>
                <w:kern w:val="0"/>
                <w:szCs w:val="21"/>
                <w:lang w:bidi="ar"/>
              </w:rPr>
              <w:t>cm/s</w:t>
            </w:r>
          </w:p>
        </w:tc>
        <w:tc>
          <w:tcPr>
            <w:tcW w:w="297" w:type="pct"/>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316" w:type="pct"/>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644" w:type="pct"/>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740" w:type="pct"/>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合计</w:t>
            </w:r>
          </w:p>
        </w:tc>
        <w:tc>
          <w:tcPr>
            <w:tcW w:w="200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297"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316" w:type="pct"/>
            <w:noWrap w:val="0"/>
            <w:vAlign w:val="center"/>
          </w:tcPr>
          <w:p>
            <w:pPr>
              <w:jc w:val="center"/>
              <w:rPr>
                <w:rFonts w:hint="default" w:ascii="Times New Roman" w:hAnsi="Times New Roman" w:cs="Times New Roman"/>
                <w:szCs w:val="21"/>
                <w:highlight w:val="yellow"/>
              </w:rPr>
            </w:pPr>
            <w:r>
              <w:rPr>
                <w:rFonts w:hint="default" w:ascii="Times New Roman" w:hAnsi="Times New Roman" w:cs="Times New Roman"/>
                <w:szCs w:val="21"/>
              </w:rPr>
              <w:t>62.75</w:t>
            </w:r>
          </w:p>
        </w:tc>
        <w:tc>
          <w:tcPr>
            <w:tcW w:w="1644" w:type="pct"/>
            <w:noWrap w:val="0"/>
            <w:vAlign w:val="top"/>
          </w:tcPr>
          <w:p>
            <w:pPr>
              <w:jc w:val="center"/>
              <w:rPr>
                <w:rFonts w:hint="default" w:ascii="Times New Roman" w:hAnsi="Times New Roman" w:cs="Times New Roman"/>
                <w:szCs w:val="21"/>
                <w:highlight w:val="yellow"/>
              </w:rPr>
            </w:pPr>
            <w:r>
              <w:rPr>
                <w:rFonts w:hint="default" w:ascii="Times New Roman" w:hAnsi="Times New Roman" w:cs="Times New Roman"/>
                <w:szCs w:val="21"/>
              </w:rPr>
              <w:t>/</w:t>
            </w:r>
          </w:p>
        </w:tc>
      </w:tr>
    </w:tbl>
    <w:p>
      <w:pPr>
        <w:pStyle w:val="2"/>
        <w:spacing w:line="360" w:lineRule="auto"/>
        <w:ind w:left="0" w:leftChars="0" w:firstLine="480" w:firstLineChars="200"/>
        <w:rPr>
          <w:rFonts w:hint="eastAsia" w:ascii="宋体" w:hAnsi="宋体" w:cs="宋体"/>
          <w:color w:val="000000"/>
          <w:kern w:val="0"/>
          <w:sz w:val="24"/>
          <w:lang w:bidi="ar"/>
        </w:rPr>
      </w:pPr>
    </w:p>
    <w:p>
      <w:pPr>
        <w:pStyle w:val="36"/>
        <w:rPr>
          <w:rFonts w:cs="Times New Roman"/>
        </w:rPr>
      </w:pPr>
      <w:bookmarkStart w:id="179" w:name="_Toc392663583"/>
      <w:bookmarkStart w:id="180" w:name="_Toc439257891"/>
      <w:bookmarkStart w:id="181" w:name="_Toc351727237"/>
      <w:bookmarkStart w:id="182" w:name="_Toc335292434"/>
      <w:bookmarkStart w:id="183" w:name="_Toc343776609"/>
      <w:bookmarkStart w:id="184" w:name="_Toc351726993"/>
      <w:bookmarkStart w:id="185" w:name="_Toc301167862"/>
      <w:bookmarkStart w:id="186" w:name="_Toc1148"/>
      <w:bookmarkStart w:id="187" w:name="_Toc426048359"/>
      <w:bookmarkStart w:id="188" w:name="_Toc331605294"/>
      <w:bookmarkStart w:id="189" w:name="_Toc385615780"/>
      <w:bookmarkStart w:id="190" w:name="_Toc11840"/>
      <w:r>
        <w:rPr>
          <w:rFonts w:hint="default" w:ascii="Times New Roman" w:hAnsi="Times New Roman" w:cs="Times New Roman"/>
        </w:rPr>
        <w:t>第7章  环境影</w:t>
      </w:r>
      <w:r>
        <w:rPr>
          <w:rFonts w:cs="Times New Roman"/>
        </w:rPr>
        <w:t>响经济损益分析</w:t>
      </w:r>
      <w:bookmarkEnd w:id="179"/>
      <w:bookmarkEnd w:id="180"/>
      <w:bookmarkEnd w:id="181"/>
      <w:bookmarkEnd w:id="182"/>
      <w:bookmarkEnd w:id="183"/>
      <w:bookmarkEnd w:id="184"/>
      <w:bookmarkEnd w:id="185"/>
      <w:bookmarkEnd w:id="186"/>
      <w:bookmarkEnd w:id="187"/>
      <w:bookmarkEnd w:id="188"/>
      <w:bookmarkEnd w:id="189"/>
      <w:bookmarkEnd w:id="190"/>
    </w:p>
    <w:p>
      <w:pPr>
        <w:adjustRightInd w:val="0"/>
        <w:snapToGrid w:val="0"/>
        <w:spacing w:line="360" w:lineRule="auto"/>
        <w:ind w:firstLine="480" w:firstLineChars="200"/>
        <w:rPr>
          <w:rFonts w:hint="eastAsia"/>
          <w:sz w:val="24"/>
        </w:rPr>
      </w:pPr>
      <w:bookmarkStart w:id="191" w:name="_Toc5136"/>
      <w:bookmarkStart w:id="192" w:name="_Toc351727239"/>
      <w:bookmarkStart w:id="193" w:name="_Toc426048360"/>
      <w:bookmarkStart w:id="194" w:name="_Toc392663584"/>
      <w:bookmarkStart w:id="195" w:name="_Toc343776611"/>
      <w:bookmarkStart w:id="196" w:name="_Toc351726995"/>
      <w:bookmarkStart w:id="197" w:name="_Toc494212301"/>
      <w:bookmarkStart w:id="198" w:name="_Toc385615781"/>
      <w:bookmarkStart w:id="199" w:name="_Toc439257892"/>
      <w:bookmarkStart w:id="200" w:name="_Toc335292440"/>
      <w:r>
        <w:rPr>
          <w:rFonts w:hint="eastAsia"/>
          <w:sz w:val="24"/>
        </w:rPr>
        <w:t>环境经济损益分析是从经济的角度分析、预测工程项目的环境效益。工程项目的实施应体现经济效益、社会效益和环境效益相统一的原则，其主要内容包括：确定环保措施的项目内容，统计分析环保措施投入的资金、运转费用以及取得的环境经济效益，工程环保设施投资比例占工程总投资比例的合理性、可行性。</w:t>
      </w:r>
      <w:bookmarkEnd w:id="191"/>
    </w:p>
    <w:p>
      <w:pPr>
        <w:pStyle w:val="5"/>
        <w:spacing w:before="0" w:after="0" w:line="360" w:lineRule="auto"/>
        <w:rPr>
          <w:rFonts w:hint="eastAsia" w:ascii="Times New Roman" w:hAnsi="Times New Roman" w:eastAsia="宋体"/>
          <w:sz w:val="30"/>
          <w:szCs w:val="30"/>
        </w:rPr>
      </w:pPr>
      <w:bookmarkStart w:id="201" w:name="_Toc22683"/>
      <w:bookmarkStart w:id="202" w:name="_Toc1835"/>
      <w:r>
        <w:rPr>
          <w:rFonts w:hint="eastAsia" w:ascii="Times New Roman" w:hAnsi="Times New Roman" w:eastAsia="宋体"/>
          <w:sz w:val="30"/>
          <w:szCs w:val="30"/>
        </w:rPr>
        <w:t>7</w:t>
      </w:r>
      <w:r>
        <w:rPr>
          <w:rFonts w:ascii="Times New Roman" w:hAnsi="Times New Roman" w:eastAsia="宋体"/>
          <w:sz w:val="30"/>
          <w:szCs w:val="30"/>
        </w:rPr>
        <w:t>.1</w:t>
      </w:r>
      <w:bookmarkEnd w:id="192"/>
      <w:bookmarkEnd w:id="193"/>
      <w:bookmarkEnd w:id="194"/>
      <w:bookmarkEnd w:id="195"/>
      <w:bookmarkEnd w:id="196"/>
      <w:bookmarkEnd w:id="197"/>
      <w:bookmarkEnd w:id="198"/>
      <w:bookmarkEnd w:id="199"/>
      <w:bookmarkEnd w:id="200"/>
      <w:r>
        <w:rPr>
          <w:rFonts w:hint="eastAsia" w:ascii="Times New Roman" w:hAnsi="Times New Roman" w:eastAsia="宋体"/>
          <w:sz w:val="30"/>
          <w:szCs w:val="30"/>
        </w:rPr>
        <w:t>环保投资及估算</w:t>
      </w:r>
      <w:bookmarkEnd w:id="201"/>
      <w:bookmarkEnd w:id="202"/>
    </w:p>
    <w:p>
      <w:pPr>
        <w:pStyle w:val="2"/>
        <w:spacing w:line="360" w:lineRule="auto"/>
        <w:ind w:left="0" w:leftChars="0" w:firstLine="480" w:firstLineChars="200"/>
        <w:rPr>
          <w:rFonts w:hint="eastAsia" w:ascii="宋体" w:hAnsi="宋体" w:cs="宋体"/>
          <w:color w:val="000000"/>
          <w:kern w:val="0"/>
          <w:sz w:val="24"/>
          <w:lang w:bidi="ar"/>
        </w:rPr>
      </w:pPr>
      <w:r>
        <w:rPr>
          <w:rFonts w:hint="eastAsia"/>
          <w:sz w:val="24"/>
        </w:rPr>
        <w:t>《建设项目环境保护设计规定》第六十二条指出：“凡属污染治理和保护环境所需的装置、设备、监测手段和工程设施等均属环境保护设施”、“凡有环境保护设施的建设项目均应列出环境保护设施的投资概算”。据此规定，本项目环境保护设施主要有：废气污染治理设施、噪声污染治理设施、废水污染防治措施、固体废物处置设施等，本项目总投资</w:t>
      </w:r>
      <w:r>
        <w:rPr>
          <w:rFonts w:hint="eastAsia"/>
          <w:sz w:val="24"/>
          <w:lang w:val="en-US" w:eastAsia="zh-CN"/>
        </w:rPr>
        <w:t>920</w:t>
      </w:r>
      <w:r>
        <w:rPr>
          <w:rFonts w:hint="eastAsia"/>
          <w:sz w:val="24"/>
        </w:rPr>
        <w:t>万元，环保投资62.75万元，环保投资占总投资的</w:t>
      </w:r>
      <w:r>
        <w:rPr>
          <w:rFonts w:hint="eastAsia"/>
          <w:sz w:val="24"/>
          <w:lang w:val="en-US" w:eastAsia="zh-CN"/>
        </w:rPr>
        <w:t>6.82</w:t>
      </w:r>
      <w:r>
        <w:rPr>
          <w:rFonts w:hint="eastAsia"/>
          <w:sz w:val="24"/>
        </w:rPr>
        <w:t>%，环境保护投资估算详见表6.2-</w:t>
      </w:r>
      <w:r>
        <w:rPr>
          <w:rFonts w:hint="eastAsia"/>
          <w:sz w:val="24"/>
          <w:lang w:val="en-US" w:eastAsia="zh-CN"/>
        </w:rPr>
        <w:t>8</w:t>
      </w:r>
      <w:r>
        <w:rPr>
          <w:rFonts w:hint="eastAsia"/>
          <w:sz w:val="24"/>
        </w:rPr>
        <w:t>。</w:t>
      </w:r>
    </w:p>
    <w:p>
      <w:pPr>
        <w:pStyle w:val="5"/>
        <w:spacing w:before="0" w:after="0" w:line="360" w:lineRule="auto"/>
        <w:rPr>
          <w:rFonts w:ascii="Times New Roman" w:hAnsi="Times New Roman" w:eastAsia="宋体"/>
          <w:sz w:val="30"/>
          <w:szCs w:val="30"/>
        </w:rPr>
      </w:pPr>
      <w:bookmarkStart w:id="203" w:name="_Toc392663586"/>
      <w:bookmarkStart w:id="204" w:name="_Toc2827"/>
      <w:bookmarkStart w:id="205" w:name="_Toc426048362"/>
      <w:bookmarkStart w:id="206" w:name="_Toc439257898"/>
      <w:bookmarkStart w:id="207" w:name="_Toc13529"/>
      <w:r>
        <w:rPr>
          <w:rFonts w:hint="eastAsia" w:ascii="Times New Roman" w:hAnsi="Times New Roman" w:eastAsia="宋体"/>
          <w:sz w:val="30"/>
          <w:szCs w:val="30"/>
        </w:rPr>
        <w:t>7</w:t>
      </w:r>
      <w:r>
        <w:rPr>
          <w:rFonts w:ascii="Times New Roman" w:hAnsi="Times New Roman" w:eastAsia="宋体"/>
          <w:sz w:val="30"/>
          <w:szCs w:val="30"/>
        </w:rPr>
        <w:t>.2</w:t>
      </w:r>
      <w:r>
        <w:rPr>
          <w:rFonts w:hint="eastAsia" w:ascii="Times New Roman" w:hAnsi="Times New Roman" w:eastAsia="宋体"/>
          <w:sz w:val="30"/>
          <w:szCs w:val="30"/>
        </w:rPr>
        <w:t>经济</w:t>
      </w:r>
      <w:r>
        <w:rPr>
          <w:rFonts w:ascii="Times New Roman" w:hAnsi="Times New Roman" w:eastAsia="宋体"/>
          <w:sz w:val="30"/>
          <w:szCs w:val="30"/>
        </w:rPr>
        <w:t>效益分析</w:t>
      </w:r>
      <w:bookmarkEnd w:id="203"/>
      <w:bookmarkEnd w:id="204"/>
      <w:bookmarkEnd w:id="205"/>
      <w:bookmarkEnd w:id="206"/>
      <w:bookmarkEnd w:id="207"/>
    </w:p>
    <w:p>
      <w:pPr>
        <w:pStyle w:val="2"/>
        <w:spacing w:line="360" w:lineRule="auto"/>
        <w:ind w:left="0" w:leftChars="0" w:firstLine="480" w:firstLineChars="200"/>
        <w:rPr>
          <w:rFonts w:hint="eastAsia" w:ascii="宋体" w:hAnsi="宋体" w:cs="宋体"/>
          <w:color w:val="000000"/>
          <w:kern w:val="0"/>
          <w:sz w:val="24"/>
          <w:lang w:bidi="ar"/>
        </w:rPr>
      </w:pPr>
      <w:r>
        <w:rPr>
          <w:rFonts w:hint="eastAsia"/>
          <w:sz w:val="24"/>
        </w:rPr>
        <w:t>本项目</w:t>
      </w:r>
      <w:r>
        <w:rPr>
          <w:sz w:val="24"/>
        </w:rPr>
        <w:t>在设计中充分考虑了环境保护的要求，严格执行各项环境保护标准，满足环境准入负面清单。环保设施的建成与投运，能最大限度减少污染物排放，满足拟建项目废水、废气、噪声等达标排放，对周围水环境、大气环境、声环境影响较小；固废得到了妥善处置，对周围环境无直接影响。通过采取本评价中提出的环保措施后，项目建设能满足生态保护红线、环境质量底线、资源利用上线的要求，既保护环境又为</w:t>
      </w:r>
      <w:r>
        <w:rPr>
          <w:rFonts w:hint="eastAsia"/>
          <w:sz w:val="24"/>
        </w:rPr>
        <w:t>建设单位</w:t>
      </w:r>
      <w:r>
        <w:rPr>
          <w:sz w:val="24"/>
        </w:rPr>
        <w:t>带来了一定的经济效益，其环保措施环境效益明显。本项目投入的环境保护投资，其环境效益突出体现在</w:t>
      </w:r>
      <w:r>
        <w:rPr>
          <w:rFonts w:hint="eastAsia"/>
          <w:sz w:val="24"/>
        </w:rPr>
        <w:t>生产废水处理循环利用、危险废物妥善处置、噪声达标排放等，所以在体现循环经济的同时也可以降低生产成本，因此本项目在完善管理、严格操作的前提下</w:t>
      </w:r>
      <w:r>
        <w:rPr>
          <w:sz w:val="24"/>
        </w:rPr>
        <w:t>，不会对当地居民的正常生活造</w:t>
      </w:r>
      <w:r>
        <w:rPr>
          <w:rFonts w:hint="eastAsia"/>
          <w:sz w:val="24"/>
        </w:rPr>
        <w:t>不利</w:t>
      </w:r>
      <w:r>
        <w:rPr>
          <w:sz w:val="24"/>
        </w:rPr>
        <w:t>影响，</w:t>
      </w:r>
      <w:r>
        <w:rPr>
          <w:rFonts w:hint="eastAsia"/>
          <w:sz w:val="24"/>
        </w:rPr>
        <w:t>并且将会产生经济</w:t>
      </w:r>
      <w:r>
        <w:rPr>
          <w:sz w:val="24"/>
        </w:rPr>
        <w:t>效益。</w:t>
      </w:r>
    </w:p>
    <w:p>
      <w:pPr>
        <w:pStyle w:val="5"/>
        <w:spacing w:before="0" w:after="0" w:line="360" w:lineRule="auto"/>
        <w:rPr>
          <w:rFonts w:ascii="Times New Roman" w:hAnsi="Times New Roman" w:eastAsia="宋体"/>
          <w:sz w:val="30"/>
          <w:szCs w:val="30"/>
        </w:rPr>
      </w:pPr>
      <w:bookmarkStart w:id="208" w:name="_Toc12676"/>
      <w:bookmarkStart w:id="209" w:name="_Toc10349"/>
      <w:r>
        <w:rPr>
          <w:rFonts w:hint="eastAsia" w:ascii="Times New Roman" w:hAnsi="Times New Roman" w:eastAsia="宋体"/>
          <w:sz w:val="30"/>
          <w:szCs w:val="30"/>
        </w:rPr>
        <w:t>7</w:t>
      </w:r>
      <w:r>
        <w:rPr>
          <w:rFonts w:ascii="Times New Roman" w:hAnsi="Times New Roman" w:eastAsia="宋体"/>
          <w:sz w:val="30"/>
          <w:szCs w:val="30"/>
        </w:rPr>
        <w:t>.</w:t>
      </w:r>
      <w:r>
        <w:rPr>
          <w:rFonts w:hint="eastAsia" w:ascii="Times New Roman" w:hAnsi="Times New Roman" w:eastAsia="宋体"/>
          <w:sz w:val="30"/>
          <w:szCs w:val="30"/>
        </w:rPr>
        <w:t>3社会</w:t>
      </w:r>
      <w:r>
        <w:rPr>
          <w:rFonts w:ascii="Times New Roman" w:hAnsi="Times New Roman" w:eastAsia="宋体"/>
          <w:sz w:val="30"/>
          <w:szCs w:val="30"/>
        </w:rPr>
        <w:t>效益分析</w:t>
      </w:r>
      <w:bookmarkEnd w:id="208"/>
      <w:bookmarkEnd w:id="209"/>
    </w:p>
    <w:p>
      <w:pPr>
        <w:pStyle w:val="2"/>
        <w:spacing w:line="360" w:lineRule="auto"/>
        <w:ind w:left="0" w:leftChars="0" w:firstLine="480" w:firstLineChars="200"/>
        <w:rPr>
          <w:rFonts w:hint="eastAsia" w:ascii="宋体" w:hAnsi="宋体" w:cs="宋体"/>
          <w:color w:val="000000"/>
          <w:kern w:val="0"/>
          <w:sz w:val="24"/>
          <w:lang w:bidi="ar"/>
        </w:rPr>
      </w:pPr>
      <w:r>
        <w:rPr>
          <w:sz w:val="24"/>
        </w:rPr>
        <w:t>本项目利用</w:t>
      </w:r>
      <w:r>
        <w:rPr>
          <w:rFonts w:hint="eastAsia"/>
          <w:sz w:val="24"/>
          <w:lang w:val="en-US" w:eastAsia="zh-CN"/>
        </w:rPr>
        <w:t>高温蒸汽</w:t>
      </w:r>
      <w:r>
        <w:rPr>
          <w:sz w:val="24"/>
        </w:rPr>
        <w:t>消毒处理医疗废物，使之无害化、减量化，可处理</w:t>
      </w:r>
      <w:r>
        <w:rPr>
          <w:rFonts w:hint="eastAsia"/>
          <w:sz w:val="24"/>
          <w:lang w:val="en-US" w:eastAsia="zh-CN"/>
        </w:rPr>
        <w:t>阿尔山市</w:t>
      </w:r>
      <w:r>
        <w:rPr>
          <w:sz w:val="24"/>
        </w:rPr>
        <w:t>医疗废物</w:t>
      </w:r>
      <w:r>
        <w:rPr>
          <w:rFonts w:hint="eastAsia"/>
          <w:sz w:val="24"/>
          <w:lang w:val="en-US" w:eastAsia="zh-CN"/>
        </w:rPr>
        <w:t>500t/a</w:t>
      </w:r>
      <w:r>
        <w:rPr>
          <w:sz w:val="24"/>
        </w:rPr>
        <w:t>，实现了医疗废物对环境和公众安全卫生的危害风险减轻到最低限度，从而使当地居民生活环境和健康水平得到改善和提高。同时，医疗废物处理率是考核城市环境建设的一项重要指标，可以反映城市基础设施水平。因此，本医疗</w:t>
      </w:r>
      <w:r>
        <w:rPr>
          <w:rFonts w:hint="eastAsia"/>
          <w:sz w:val="24"/>
        </w:rPr>
        <w:t>垃圾处理中心</w:t>
      </w:r>
      <w:r>
        <w:rPr>
          <w:sz w:val="24"/>
        </w:rPr>
        <w:t>建成后，可缓解服务范围内现有医疗机构卫生环境压力，对改善</w:t>
      </w:r>
      <w:r>
        <w:rPr>
          <w:rFonts w:hint="eastAsia"/>
          <w:sz w:val="24"/>
          <w:lang w:val="en-US" w:eastAsia="zh-CN"/>
        </w:rPr>
        <w:t>阿尔山地区</w:t>
      </w:r>
      <w:r>
        <w:rPr>
          <w:sz w:val="24"/>
        </w:rPr>
        <w:t>的投资环境</w:t>
      </w:r>
      <w:r>
        <w:rPr>
          <w:rFonts w:hint="eastAsia"/>
          <w:sz w:val="24"/>
        </w:rPr>
        <w:t>、</w:t>
      </w:r>
      <w:r>
        <w:rPr>
          <w:sz w:val="24"/>
        </w:rPr>
        <w:t>提高</w:t>
      </w:r>
      <w:r>
        <w:rPr>
          <w:rFonts w:hint="eastAsia"/>
          <w:sz w:val="24"/>
          <w:lang w:val="en-US" w:eastAsia="zh-CN"/>
        </w:rPr>
        <w:t>阿尔山市</w:t>
      </w:r>
      <w:r>
        <w:rPr>
          <w:sz w:val="24"/>
        </w:rPr>
        <w:t>总体竞争能力和促进经济的可持续发展均有积极作用。</w:t>
      </w:r>
    </w:p>
    <w:p>
      <w:pPr>
        <w:pStyle w:val="5"/>
        <w:spacing w:before="0" w:after="0" w:line="360" w:lineRule="auto"/>
        <w:rPr>
          <w:rFonts w:hint="eastAsia" w:ascii="Times New Roman" w:hAnsi="Times New Roman" w:eastAsia="宋体"/>
          <w:sz w:val="30"/>
          <w:szCs w:val="30"/>
        </w:rPr>
      </w:pPr>
      <w:bookmarkStart w:id="210" w:name="_Toc385615783"/>
      <w:bookmarkStart w:id="211" w:name="_Toc331605300"/>
      <w:bookmarkStart w:id="212" w:name="_Toc426048363"/>
      <w:bookmarkStart w:id="213" w:name="_Toc343776620"/>
      <w:bookmarkStart w:id="214" w:name="_Toc335292444"/>
      <w:bookmarkStart w:id="215" w:name="_Toc392663587"/>
      <w:bookmarkStart w:id="216" w:name="_Toc439257899"/>
      <w:bookmarkStart w:id="217" w:name="_Toc351727004"/>
      <w:bookmarkStart w:id="218" w:name="_Toc351727241"/>
      <w:bookmarkStart w:id="219" w:name="_Toc26157"/>
      <w:bookmarkStart w:id="220" w:name="_Toc9737"/>
      <w:r>
        <w:rPr>
          <w:rFonts w:hint="eastAsia" w:ascii="Times New Roman" w:hAnsi="Times New Roman" w:eastAsia="宋体"/>
          <w:sz w:val="30"/>
          <w:szCs w:val="30"/>
        </w:rPr>
        <w:t>7</w:t>
      </w:r>
      <w:r>
        <w:rPr>
          <w:rFonts w:ascii="Times New Roman" w:hAnsi="Times New Roman" w:eastAsia="宋体"/>
          <w:sz w:val="30"/>
          <w:szCs w:val="30"/>
        </w:rPr>
        <w:t>.</w:t>
      </w:r>
      <w:r>
        <w:rPr>
          <w:rFonts w:hint="eastAsia" w:ascii="Times New Roman" w:hAnsi="Times New Roman" w:eastAsia="宋体"/>
          <w:sz w:val="30"/>
          <w:szCs w:val="30"/>
        </w:rPr>
        <w:t>4</w:t>
      </w:r>
      <w:bookmarkEnd w:id="210"/>
      <w:bookmarkEnd w:id="211"/>
      <w:bookmarkEnd w:id="212"/>
      <w:bookmarkEnd w:id="213"/>
      <w:bookmarkEnd w:id="214"/>
      <w:bookmarkEnd w:id="215"/>
      <w:bookmarkEnd w:id="216"/>
      <w:bookmarkEnd w:id="217"/>
      <w:bookmarkEnd w:id="218"/>
      <w:r>
        <w:rPr>
          <w:rFonts w:hint="eastAsia" w:ascii="Times New Roman" w:hAnsi="Times New Roman" w:eastAsia="宋体"/>
          <w:sz w:val="30"/>
          <w:szCs w:val="30"/>
        </w:rPr>
        <w:t>结论</w:t>
      </w:r>
      <w:bookmarkEnd w:id="219"/>
      <w:bookmarkEnd w:id="220"/>
    </w:p>
    <w:p>
      <w:pPr>
        <w:pStyle w:val="2"/>
        <w:spacing w:line="360" w:lineRule="auto"/>
        <w:ind w:left="0" w:leftChars="0" w:firstLine="480" w:firstLineChars="200"/>
        <w:rPr>
          <w:rFonts w:hint="eastAsia" w:ascii="宋体" w:hAnsi="宋体" w:cs="宋体"/>
          <w:color w:val="000000"/>
          <w:kern w:val="0"/>
          <w:sz w:val="24"/>
          <w:lang w:bidi="ar"/>
        </w:rPr>
      </w:pPr>
      <w:r>
        <w:rPr>
          <w:sz w:val="24"/>
        </w:rPr>
        <w:t>综上所述，本项目的实施不仅将改善</w:t>
      </w:r>
      <w:r>
        <w:rPr>
          <w:rFonts w:hint="eastAsia"/>
          <w:sz w:val="24"/>
          <w:lang w:val="en-US" w:eastAsia="zh-CN"/>
        </w:rPr>
        <w:t>阿尔山市</w:t>
      </w:r>
      <w:r>
        <w:rPr>
          <w:sz w:val="24"/>
        </w:rPr>
        <w:t>医疗卫生环境，提高当地居民的生活质量，而且将极大减轻</w:t>
      </w:r>
      <w:r>
        <w:rPr>
          <w:rFonts w:hint="eastAsia"/>
          <w:sz w:val="24"/>
          <w:lang w:val="en-US" w:eastAsia="zh-CN"/>
        </w:rPr>
        <w:t>阿尔山地区</w:t>
      </w:r>
      <w:r>
        <w:rPr>
          <w:sz w:val="24"/>
        </w:rPr>
        <w:t>各医疗卫生机构的环境卫生压力，同时，本项目的经济效益更多的表现为减少疾病发生率的间接经济效益。因此，在采取一系列环保措施后，项目对环境的影响在可接受的范围内，从环境经济损益角度分析，项目是可行的。</w:t>
      </w:r>
    </w:p>
    <w:p>
      <w:pPr>
        <w:pStyle w:val="2"/>
        <w:spacing w:line="360" w:lineRule="auto"/>
        <w:ind w:left="0" w:leftChars="0" w:firstLine="480" w:firstLineChars="200"/>
        <w:rPr>
          <w:rFonts w:hint="eastAsia" w:ascii="宋体" w:hAnsi="宋体" w:cs="宋体"/>
          <w:color w:val="000000"/>
          <w:kern w:val="0"/>
          <w:sz w:val="24"/>
          <w:lang w:bidi="ar"/>
        </w:rPr>
      </w:pPr>
    </w:p>
    <w:p>
      <w:pPr>
        <w:pStyle w:val="36"/>
        <w:rPr>
          <w:rFonts w:cs="Times New Roman"/>
        </w:rPr>
      </w:pPr>
      <w:bookmarkStart w:id="221" w:name="_Toc301167898"/>
      <w:bookmarkStart w:id="222" w:name="_Toc439257900"/>
      <w:bookmarkStart w:id="223" w:name="_Toc426048364"/>
      <w:bookmarkStart w:id="224" w:name="_Toc335292468"/>
      <w:bookmarkStart w:id="225" w:name="_Toc351727016"/>
      <w:bookmarkStart w:id="226" w:name="_Toc392663588"/>
      <w:bookmarkStart w:id="227" w:name="_Toc351727249"/>
      <w:bookmarkStart w:id="228" w:name="_Toc343776632"/>
      <w:bookmarkStart w:id="229" w:name="_Toc385615791"/>
      <w:bookmarkStart w:id="230" w:name="_Toc27560"/>
      <w:bookmarkStart w:id="231" w:name="_Toc331605324"/>
      <w:bookmarkStart w:id="232" w:name="_Toc31137"/>
      <w:r>
        <w:rPr>
          <w:rFonts w:cs="Times New Roman"/>
        </w:rPr>
        <w:t>第</w:t>
      </w:r>
      <w:r>
        <w:rPr>
          <w:rFonts w:hint="eastAsia" w:cs="Times New Roman"/>
        </w:rPr>
        <w:t>8</w:t>
      </w:r>
      <w:r>
        <w:rPr>
          <w:rFonts w:cs="Times New Roman"/>
        </w:rPr>
        <w:t>章  环境管理及</w:t>
      </w:r>
      <w:r>
        <w:rPr>
          <w:rFonts w:hint="eastAsia" w:cs="Times New Roman"/>
        </w:rPr>
        <w:t>监测</w:t>
      </w:r>
      <w:r>
        <w:rPr>
          <w:rFonts w:cs="Times New Roman"/>
        </w:rPr>
        <w:t>计划</w:t>
      </w:r>
      <w:bookmarkEnd w:id="221"/>
      <w:bookmarkEnd w:id="222"/>
      <w:bookmarkEnd w:id="223"/>
      <w:bookmarkEnd w:id="224"/>
      <w:bookmarkEnd w:id="225"/>
      <w:bookmarkEnd w:id="226"/>
      <w:bookmarkEnd w:id="227"/>
      <w:bookmarkEnd w:id="228"/>
      <w:bookmarkEnd w:id="229"/>
      <w:bookmarkEnd w:id="230"/>
      <w:bookmarkEnd w:id="231"/>
      <w:bookmarkEnd w:id="232"/>
    </w:p>
    <w:p>
      <w:pPr>
        <w:adjustRightInd w:val="0"/>
        <w:snapToGrid w:val="0"/>
        <w:spacing w:line="360" w:lineRule="auto"/>
        <w:ind w:firstLine="480" w:firstLineChars="200"/>
        <w:rPr>
          <w:sz w:val="24"/>
        </w:rPr>
      </w:pPr>
      <w:r>
        <w:rPr>
          <w:sz w:val="24"/>
        </w:rPr>
        <w:t>环境管理和监测计划的制定目的在于加强对建设项目的环境管理监控，对建设项目各阶段的环保措施实施监督，提供各类环保措施运行情况的正常与否以及环境承受情况等方面的信息。通过管理监控可以得到反馈信息，及时修正设计中环保措施的不足，防止环境质量下降，确保工程的环境、经济和社会效益的统一。</w:t>
      </w:r>
    </w:p>
    <w:p>
      <w:pPr>
        <w:pStyle w:val="5"/>
        <w:spacing w:before="0" w:after="0" w:line="360" w:lineRule="auto"/>
        <w:rPr>
          <w:rFonts w:ascii="Times New Roman" w:hAnsi="Times New Roman" w:eastAsia="宋体"/>
          <w:sz w:val="30"/>
          <w:szCs w:val="30"/>
        </w:rPr>
      </w:pPr>
      <w:bookmarkStart w:id="233" w:name="_Toc24003"/>
      <w:bookmarkStart w:id="234" w:name="_Toc22852"/>
      <w:r>
        <w:rPr>
          <w:rFonts w:hint="eastAsia" w:ascii="Times New Roman" w:hAnsi="Times New Roman" w:eastAsia="宋体"/>
          <w:sz w:val="30"/>
          <w:szCs w:val="30"/>
        </w:rPr>
        <w:t>8</w:t>
      </w:r>
      <w:r>
        <w:rPr>
          <w:rFonts w:ascii="Times New Roman" w:hAnsi="Times New Roman" w:eastAsia="宋体"/>
          <w:sz w:val="30"/>
          <w:szCs w:val="30"/>
        </w:rPr>
        <w:t>.1环境管理</w:t>
      </w:r>
      <w:bookmarkEnd w:id="233"/>
      <w:bookmarkEnd w:id="234"/>
    </w:p>
    <w:p>
      <w:pPr>
        <w:adjustRightInd w:val="0"/>
        <w:snapToGrid w:val="0"/>
        <w:spacing w:line="360" w:lineRule="auto"/>
        <w:ind w:firstLine="480" w:firstLineChars="200"/>
        <w:rPr>
          <w:sz w:val="24"/>
        </w:rPr>
      </w:pPr>
      <w:r>
        <w:rPr>
          <w:sz w:val="24"/>
        </w:rPr>
        <w:t>环境管理的基本任务是以保护环境为目标，以清洁生产为手段，促进企业的生产，提高企业经济效益。因此，必须加大环境管理力度，确保公司的</w:t>
      </w:r>
      <w:r>
        <w:rPr>
          <w:rFonts w:hint="eastAsia"/>
          <w:sz w:val="24"/>
        </w:rPr>
        <w:t>“</w:t>
      </w:r>
      <w:r>
        <w:rPr>
          <w:sz w:val="24"/>
        </w:rPr>
        <w:t>三废治理</w:t>
      </w:r>
      <w:r>
        <w:rPr>
          <w:rFonts w:hint="eastAsia"/>
          <w:sz w:val="24"/>
        </w:rPr>
        <w:t>”</w:t>
      </w:r>
      <w:r>
        <w:rPr>
          <w:sz w:val="24"/>
        </w:rPr>
        <w:t>设施的正常运转，实现经济、社会、环境效益的协调发展。</w:t>
      </w:r>
    </w:p>
    <w:p>
      <w:pPr>
        <w:pStyle w:val="2"/>
        <w:spacing w:line="360" w:lineRule="auto"/>
        <w:rPr>
          <w:sz w:val="24"/>
        </w:rPr>
      </w:pPr>
      <w:r>
        <w:rPr>
          <w:sz w:val="24"/>
        </w:rPr>
        <w:t>本项目的环境管理体系可分为管理机构与监测机构。</w:t>
      </w:r>
    </w:p>
    <w:p>
      <w:pPr>
        <w:pStyle w:val="6"/>
        <w:spacing w:before="0" w:after="0" w:line="360" w:lineRule="auto"/>
        <w:rPr>
          <w:rFonts w:hint="default" w:ascii="Times New Roman" w:hAnsi="Times New Roman" w:cs="Times New Roman"/>
          <w:kern w:val="0"/>
          <w:sz w:val="28"/>
        </w:rPr>
      </w:pPr>
      <w:bookmarkStart w:id="235" w:name="_Toc335292470"/>
      <w:bookmarkStart w:id="236" w:name="_Toc351727018"/>
      <w:bookmarkStart w:id="237" w:name="_Toc439257902"/>
      <w:bookmarkStart w:id="238" w:name="_Toc343776634"/>
      <w:bookmarkStart w:id="239" w:name="_Toc30973"/>
      <w:bookmarkStart w:id="240" w:name="_Toc11273"/>
      <w:r>
        <w:rPr>
          <w:rFonts w:hint="default" w:ascii="Times New Roman" w:hAnsi="Times New Roman" w:cs="Times New Roman"/>
          <w:kern w:val="0"/>
          <w:sz w:val="28"/>
        </w:rPr>
        <w:t>8.1.1环境管理</w:t>
      </w:r>
      <w:bookmarkEnd w:id="235"/>
      <w:bookmarkEnd w:id="236"/>
      <w:bookmarkEnd w:id="237"/>
      <w:bookmarkEnd w:id="238"/>
      <w:r>
        <w:rPr>
          <w:rFonts w:hint="default" w:ascii="Times New Roman" w:hAnsi="Times New Roman" w:cs="Times New Roman"/>
          <w:kern w:val="0"/>
          <w:sz w:val="28"/>
        </w:rPr>
        <w:t>制度</w:t>
      </w:r>
      <w:bookmarkEnd w:id="239"/>
      <w:bookmarkEnd w:id="240"/>
    </w:p>
    <w:p>
      <w:pPr>
        <w:pStyle w:val="2"/>
        <w:spacing w:line="360" w:lineRule="auto"/>
        <w:rPr>
          <w:sz w:val="24"/>
        </w:rPr>
      </w:pPr>
      <w:r>
        <w:rPr>
          <w:sz w:val="24"/>
        </w:rPr>
        <w:t>企业应建立环境保护责任制度，设立安全环保部门，配备专职环境保护管理人员</w:t>
      </w:r>
      <w:r>
        <w:rPr>
          <w:rFonts w:hint="eastAsia"/>
          <w:sz w:val="24"/>
        </w:rPr>
        <w:t>，</w:t>
      </w:r>
      <w:r>
        <w:rPr>
          <w:sz w:val="24"/>
        </w:rPr>
        <w:t>协调、落实各部门的环保工作。制定企业《环境保护管理制度》、《项目建设环境保护管理制度》、《环保节能设施管理制度》、《环保会议制度》、《环保统计制度》、《环保现场检查与“红黄牌”挂牌制度》、《环保标准化管理制度》等一系列环保管理制度。</w:t>
      </w:r>
    </w:p>
    <w:p>
      <w:pPr>
        <w:pStyle w:val="6"/>
        <w:spacing w:before="0" w:after="0" w:line="360" w:lineRule="auto"/>
        <w:rPr>
          <w:rFonts w:hint="default" w:ascii="Times New Roman" w:hAnsi="Times New Roman" w:cs="Times New Roman"/>
          <w:kern w:val="0"/>
          <w:sz w:val="28"/>
        </w:rPr>
      </w:pPr>
      <w:bookmarkStart w:id="241" w:name="_Toc439257903"/>
      <w:bookmarkStart w:id="242" w:name="_Toc335292471"/>
      <w:bookmarkStart w:id="243" w:name="_Toc343776635"/>
      <w:bookmarkStart w:id="244" w:name="_Toc351727019"/>
      <w:bookmarkStart w:id="245" w:name="_Toc10016"/>
      <w:bookmarkStart w:id="246" w:name="_Toc7135"/>
      <w:r>
        <w:rPr>
          <w:rFonts w:hint="default" w:ascii="Times New Roman" w:hAnsi="Times New Roman" w:cs="Times New Roman"/>
          <w:kern w:val="0"/>
          <w:sz w:val="28"/>
        </w:rPr>
        <w:t>8.1.2环境</w:t>
      </w:r>
      <w:bookmarkEnd w:id="241"/>
      <w:bookmarkEnd w:id="242"/>
      <w:bookmarkEnd w:id="243"/>
      <w:bookmarkEnd w:id="244"/>
      <w:r>
        <w:rPr>
          <w:rFonts w:hint="default" w:ascii="Times New Roman" w:hAnsi="Times New Roman" w:cs="Times New Roman"/>
          <w:kern w:val="0"/>
          <w:sz w:val="28"/>
        </w:rPr>
        <w:t>管理机构</w:t>
      </w:r>
      <w:bookmarkEnd w:id="245"/>
      <w:bookmarkEnd w:id="246"/>
    </w:p>
    <w:p>
      <w:pPr>
        <w:adjustRightInd w:val="0"/>
        <w:snapToGrid w:val="0"/>
        <w:spacing w:line="360" w:lineRule="auto"/>
        <w:ind w:firstLine="480" w:firstLineChars="200"/>
        <w:rPr>
          <w:sz w:val="24"/>
        </w:rPr>
      </w:pPr>
      <w:r>
        <w:rPr>
          <w:sz w:val="24"/>
        </w:rPr>
        <w:t>项目建成后，企业必须在环境管理的基础上开展环保工作，</w:t>
      </w:r>
      <w:r>
        <w:rPr>
          <w:rFonts w:hint="eastAsia"/>
          <w:sz w:val="24"/>
        </w:rPr>
        <w:t>项目成立生态环境保护</w:t>
      </w:r>
      <w:r>
        <w:rPr>
          <w:sz w:val="24"/>
        </w:rPr>
        <w:t>管理</w:t>
      </w:r>
      <w:r>
        <w:rPr>
          <w:rFonts w:hint="eastAsia"/>
          <w:sz w:val="24"/>
        </w:rPr>
        <w:t>部门，设定环境管理人员，形成公司上下完善的环境管理机制。对应人员落实职责，强化养殖区工作人员的环境管理职责，把环境管理工作的落实情况作为人员考核的重要指标</w:t>
      </w:r>
      <w:r>
        <w:rPr>
          <w:sz w:val="24"/>
        </w:rPr>
        <w:t>。项目建成后，环境管理</w:t>
      </w:r>
      <w:r>
        <w:rPr>
          <w:rFonts w:hint="eastAsia"/>
          <w:sz w:val="24"/>
        </w:rPr>
        <w:t>机制</w:t>
      </w:r>
      <w:r>
        <w:rPr>
          <w:sz w:val="24"/>
        </w:rPr>
        <w:t>要健全，人员的配备要合理，责任分工要明确。</w:t>
      </w:r>
    </w:p>
    <w:p>
      <w:pPr>
        <w:pStyle w:val="2"/>
        <w:spacing w:line="360" w:lineRule="auto"/>
        <w:ind w:left="0" w:leftChars="0" w:firstLine="480" w:firstLineChars="200"/>
        <w:rPr>
          <w:sz w:val="24"/>
        </w:rPr>
      </w:pPr>
      <w:r>
        <w:rPr>
          <w:sz w:val="24"/>
        </w:rPr>
        <w:t>环境管理</w:t>
      </w:r>
      <w:r>
        <w:rPr>
          <w:rFonts w:hint="eastAsia"/>
          <w:sz w:val="24"/>
        </w:rPr>
        <w:t>部门</w:t>
      </w:r>
      <w:r>
        <w:rPr>
          <w:sz w:val="24"/>
        </w:rPr>
        <w:t>的主要职能是研究决策公司环保工作的重大事宜，并负责公司环境保护的规划、管理以及环境保护治理设施的管理、维修、保养和操作。</w:t>
      </w:r>
    </w:p>
    <w:p>
      <w:pPr>
        <w:pStyle w:val="6"/>
        <w:spacing w:before="0" w:after="0" w:line="360" w:lineRule="auto"/>
        <w:rPr>
          <w:rFonts w:hint="default" w:ascii="Times New Roman" w:hAnsi="Times New Roman" w:cs="Times New Roman"/>
          <w:kern w:val="0"/>
          <w:sz w:val="28"/>
        </w:rPr>
      </w:pPr>
      <w:bookmarkStart w:id="247" w:name="_Toc24564"/>
      <w:bookmarkStart w:id="248" w:name="_Toc7255"/>
      <w:r>
        <w:rPr>
          <w:rFonts w:hint="default" w:ascii="Times New Roman" w:hAnsi="Times New Roman" w:cs="Times New Roman"/>
          <w:kern w:val="0"/>
          <w:sz w:val="28"/>
        </w:rPr>
        <w:t>8.1.3环境管理机构的主要职责</w:t>
      </w:r>
      <w:bookmarkEnd w:id="247"/>
      <w:bookmarkEnd w:id="248"/>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（1）认真贯彻国家及地方有关环境保护的方针、政策、法规、条例，并对执行情况进行监督。</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（2）组织实施公司员工的环保教育、培训和考核，提高环保管理人员、环保设施操作人员的业务水平，提高员工的环境意识和法制观念。</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（3）组织制定公司环保工作计划，包括长远环保发展规划和年度环保计划，并监督执行。</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（4）建立一套健全符合企业实际情况的环境保护管理制度，使环保工作有章可循，形成制度化管理。</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（5）参与各项环保设施施工质量的检查和竣工验收，监督和检查环保设施的运行和维护。</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（6）组织推广和实施先进的污染治理技术和管理经验。</w:t>
      </w:r>
    </w:p>
    <w:p>
      <w:pPr>
        <w:pStyle w:val="2"/>
        <w:spacing w:line="360" w:lineRule="auto"/>
        <w:ind w:left="0" w:leftChars="0" w:firstLine="480" w:firstLineChars="200"/>
        <w:rPr>
          <w:sz w:val="24"/>
        </w:rPr>
      </w:pPr>
      <w:r>
        <w:rPr>
          <w:rFonts w:hint="default" w:ascii="Times New Roman" w:hAnsi="Times New Roman" w:cs="Times New Roman"/>
          <w:sz w:val="24"/>
        </w:rPr>
        <w:t>（7）负责向上级主管部门及时汇报企业污染物排放及治理情况。</w:t>
      </w:r>
    </w:p>
    <w:p>
      <w:pPr>
        <w:pStyle w:val="6"/>
        <w:spacing w:before="0" w:after="0" w:line="360" w:lineRule="auto"/>
        <w:rPr>
          <w:rFonts w:hint="default" w:ascii="Times New Roman" w:hAnsi="Times New Roman" w:cs="Times New Roman"/>
          <w:kern w:val="0"/>
          <w:sz w:val="28"/>
        </w:rPr>
      </w:pPr>
      <w:bookmarkStart w:id="249" w:name="_Toc25519"/>
      <w:bookmarkStart w:id="250" w:name="_Toc20914"/>
      <w:r>
        <w:rPr>
          <w:rFonts w:hint="default" w:ascii="Times New Roman" w:hAnsi="Times New Roman" w:cs="Times New Roman"/>
          <w:kern w:val="0"/>
          <w:sz w:val="28"/>
        </w:rPr>
        <w:t>8.1.4环境保护管理计划</w:t>
      </w:r>
      <w:bookmarkEnd w:id="249"/>
      <w:bookmarkEnd w:id="250"/>
    </w:p>
    <w:p>
      <w:pPr>
        <w:pStyle w:val="2"/>
        <w:spacing w:line="360" w:lineRule="auto"/>
        <w:rPr>
          <w:sz w:val="24"/>
        </w:rPr>
      </w:pPr>
      <w:r>
        <w:rPr>
          <w:rFonts w:hint="eastAsia"/>
          <w:sz w:val="24"/>
        </w:rPr>
        <w:t>为了切实减轻环境影响，运营期建设单位应建设项目管理部门，成立专职的环保管理机构，负责日常的环境管理环保设施的维护，落实相关的环境管理制度，制定风险的应急措施。</w:t>
      </w:r>
    </w:p>
    <w:p>
      <w:pPr>
        <w:pStyle w:val="6"/>
        <w:spacing w:before="0" w:after="0" w:line="360" w:lineRule="auto"/>
        <w:rPr>
          <w:rFonts w:hint="default" w:ascii="Times New Roman" w:hAnsi="Times New Roman" w:cs="Times New Roman"/>
          <w:kern w:val="0"/>
          <w:sz w:val="28"/>
        </w:rPr>
      </w:pPr>
      <w:bookmarkStart w:id="251" w:name="_Toc9735"/>
      <w:bookmarkStart w:id="252" w:name="_Toc22860"/>
      <w:r>
        <w:rPr>
          <w:rFonts w:hint="default" w:ascii="Times New Roman" w:hAnsi="Times New Roman" w:cs="Times New Roman"/>
          <w:kern w:val="0"/>
          <w:sz w:val="28"/>
        </w:rPr>
        <w:t>8.1.5排污许可证申领</w:t>
      </w:r>
      <w:bookmarkEnd w:id="251"/>
      <w:bookmarkEnd w:id="252"/>
    </w:p>
    <w:p>
      <w:pPr>
        <w:spacing w:line="360" w:lineRule="auto"/>
        <w:ind w:firstLine="480" w:firstLineChars="200"/>
        <w:rPr>
          <w:sz w:val="24"/>
        </w:rPr>
      </w:pPr>
      <w:r>
        <w:rPr>
          <w:rFonts w:hint="eastAsia"/>
          <w:sz w:val="24"/>
        </w:rPr>
        <w:t>根据《排污许可管理办法（试行）》，项目在取得环境影响评价批复文件后，应当在投入生产或使用并产生实际排污行为之前向许可证核发机关提交申请材料，申领排污许可证。</w:t>
      </w:r>
    </w:p>
    <w:p>
      <w:pPr>
        <w:pStyle w:val="2"/>
        <w:spacing w:line="360" w:lineRule="auto"/>
        <w:ind w:left="0" w:leftChars="0" w:firstLine="480" w:firstLineChars="200"/>
        <w:rPr>
          <w:sz w:val="24"/>
        </w:rPr>
      </w:pPr>
      <w:r>
        <w:rPr>
          <w:rFonts w:hint="eastAsia"/>
          <w:sz w:val="24"/>
        </w:rPr>
        <w:t>根据 《固定污染源排污许可分类管理名录（2019 年版）》 可知，本项目属于“四十五、生态保护和环境治理业77；103环境治理业772；专业从事危险废物贮存、利用、处理、处置（含焚烧发电）的，专业从事一般工业固体废物贮存、处置（含焚烧发电）的”，属于重点管理。建设单位应当在投入生产或使用并产生实际排污行为之前向许可证核发机关提交申请材料，申领排污许可证</w:t>
      </w:r>
      <w:r>
        <w:rPr>
          <w:sz w:val="24"/>
        </w:rPr>
        <w:t>。</w:t>
      </w:r>
    </w:p>
    <w:p>
      <w:pPr>
        <w:pStyle w:val="5"/>
        <w:spacing w:before="0" w:after="0" w:line="360" w:lineRule="auto"/>
        <w:rPr>
          <w:rFonts w:hint="default" w:ascii="Times New Roman" w:hAnsi="Times New Roman" w:eastAsia="宋体" w:cs="Times New Roman"/>
          <w:sz w:val="30"/>
          <w:szCs w:val="30"/>
        </w:rPr>
      </w:pPr>
      <w:bookmarkStart w:id="253" w:name="_Toc11736"/>
      <w:bookmarkStart w:id="254" w:name="_Toc10161"/>
      <w:r>
        <w:rPr>
          <w:rFonts w:hint="default" w:ascii="Times New Roman" w:hAnsi="Times New Roman" w:eastAsia="宋体" w:cs="Times New Roman"/>
          <w:sz w:val="30"/>
          <w:szCs w:val="30"/>
        </w:rPr>
        <w:t>8.2环境监测计划</w:t>
      </w:r>
      <w:bookmarkEnd w:id="253"/>
      <w:bookmarkEnd w:id="254"/>
    </w:p>
    <w:p>
      <w:pPr>
        <w:pStyle w:val="6"/>
        <w:spacing w:before="0" w:after="0" w:line="360" w:lineRule="auto"/>
        <w:rPr>
          <w:rFonts w:hint="default" w:ascii="Times New Roman" w:hAnsi="Times New Roman" w:cs="Times New Roman"/>
          <w:kern w:val="0"/>
          <w:sz w:val="28"/>
        </w:rPr>
      </w:pPr>
      <w:bookmarkStart w:id="255" w:name="_Toc17286"/>
      <w:bookmarkStart w:id="256" w:name="_Toc14420"/>
      <w:bookmarkStart w:id="257" w:name="_Toc308707781"/>
      <w:bookmarkStart w:id="258" w:name="_Toc398101352"/>
      <w:bookmarkStart w:id="259" w:name="_Toc386096583"/>
      <w:bookmarkStart w:id="260" w:name="_Toc470626158"/>
      <w:r>
        <w:rPr>
          <w:rFonts w:hint="default" w:ascii="Times New Roman" w:hAnsi="Times New Roman" w:cs="Times New Roman"/>
          <w:kern w:val="0"/>
          <w:sz w:val="28"/>
        </w:rPr>
        <w:t>8.2.1监测目的及原则</w:t>
      </w:r>
      <w:bookmarkEnd w:id="255"/>
      <w:bookmarkEnd w:id="256"/>
    </w:p>
    <w:bookmarkEnd w:id="257"/>
    <w:bookmarkEnd w:id="258"/>
    <w:bookmarkEnd w:id="259"/>
    <w:bookmarkEnd w:id="260"/>
    <w:p>
      <w:pPr>
        <w:pStyle w:val="2"/>
        <w:spacing w:line="360" w:lineRule="auto"/>
        <w:rPr>
          <w:sz w:val="24"/>
        </w:rPr>
      </w:pPr>
      <w:r>
        <w:rPr>
          <w:color w:val="000000"/>
          <w:sz w:val="24"/>
          <w:szCs w:val="21"/>
        </w:rPr>
        <w:t>制定环境监测计划的目的是为了监督各项环保措施的落实，根据监测结果适时调整环境保护行动计划，并为项目的环境评估提供依据。制定的原则是根据运营期的主要环境影响及可能超标的地段和指标实施监测</w:t>
      </w:r>
      <w:r>
        <w:rPr>
          <w:sz w:val="24"/>
        </w:rPr>
        <w:t>。</w:t>
      </w:r>
    </w:p>
    <w:p>
      <w:pPr>
        <w:pStyle w:val="6"/>
        <w:spacing w:before="0" w:after="0" w:line="360" w:lineRule="auto"/>
        <w:rPr>
          <w:rFonts w:hint="default" w:ascii="Times New Roman" w:hAnsi="Times New Roman" w:cs="Times New Roman"/>
          <w:kern w:val="0"/>
          <w:sz w:val="28"/>
        </w:rPr>
      </w:pPr>
      <w:bookmarkStart w:id="261" w:name="_Toc28170"/>
      <w:bookmarkStart w:id="262" w:name="_Toc20641"/>
      <w:r>
        <w:rPr>
          <w:rFonts w:hint="default" w:ascii="Times New Roman" w:hAnsi="Times New Roman" w:cs="Times New Roman"/>
          <w:kern w:val="0"/>
          <w:sz w:val="28"/>
        </w:rPr>
        <w:t>8.2.2监测计划</w:t>
      </w:r>
      <w:bookmarkEnd w:id="261"/>
      <w:bookmarkEnd w:id="262"/>
    </w:p>
    <w:p>
      <w:pPr>
        <w:pStyle w:val="2"/>
        <w:spacing w:line="360" w:lineRule="auto"/>
        <w:ind w:left="0" w:leftChars="0" w:firstLine="480" w:firstLineChars="200"/>
        <w:rPr>
          <w:sz w:val="24"/>
        </w:rPr>
      </w:pPr>
      <w:r>
        <w:rPr>
          <w:color w:val="000000"/>
          <w:sz w:val="24"/>
          <w:szCs w:val="21"/>
        </w:rPr>
        <w:t>建设单位须委托有资质的环境监测机构对工程运营后项目区周边的空气、地下水及项目所产生的废气、噪声、固体废物依据国家相应标准、规范进行监测，并应按照规定，定期向有关环境保护主管部门</w:t>
      </w:r>
      <w:r>
        <w:rPr>
          <w:sz w:val="24"/>
          <w:szCs w:val="21"/>
        </w:rPr>
        <w:t>上报监测结果。</w:t>
      </w:r>
      <w:r>
        <w:rPr>
          <w:rFonts w:hint="eastAsia"/>
          <w:sz w:val="24"/>
          <w:szCs w:val="21"/>
        </w:rPr>
        <w:t>本项目按照</w:t>
      </w:r>
      <w:r>
        <w:rPr>
          <w:rFonts w:hint="eastAsia"/>
          <w:sz w:val="24"/>
        </w:rPr>
        <w:t>《排污许可证申请与核发技术规范 工业固体废物和危险废</w:t>
      </w:r>
      <w:r>
        <w:rPr>
          <w:rFonts w:hint="default" w:ascii="Times New Roman" w:hAnsi="Times New Roman" w:cs="Times New Roman"/>
          <w:sz w:val="24"/>
        </w:rPr>
        <w:t>物治理》（HJ1033-2019）</w:t>
      </w:r>
      <w:r>
        <w:rPr>
          <w:rFonts w:hint="eastAsia"/>
          <w:sz w:val="24"/>
        </w:rPr>
        <w:t>制定监测计划。</w:t>
      </w:r>
    </w:p>
    <w:p>
      <w:pPr>
        <w:widowControl/>
        <w:spacing w:line="360" w:lineRule="auto"/>
        <w:ind w:firstLine="480" w:firstLineChars="200"/>
        <w:jc w:val="left"/>
        <w:rPr>
          <w:rFonts w:hint="default" w:ascii="Times New Roman" w:hAnsi="Times New Roman" w:cs="Times New Roman"/>
          <w:color w:val="000000"/>
          <w:sz w:val="24"/>
          <w:szCs w:val="21"/>
        </w:rPr>
      </w:pPr>
      <w:r>
        <w:rPr>
          <w:rFonts w:hint="default" w:ascii="Times New Roman" w:hAnsi="Times New Roman" w:cs="Times New Roman"/>
          <w:color w:val="000000"/>
          <w:sz w:val="24"/>
          <w:szCs w:val="21"/>
        </w:rPr>
        <w:t>环境监测工作内容见表8.2-1。</w:t>
      </w:r>
    </w:p>
    <w:p>
      <w:pPr>
        <w:widowControl/>
        <w:jc w:val="center"/>
        <w:rPr>
          <w:rFonts w:hint="default" w:ascii="Times New Roman" w:hAnsi="Times New Roman" w:cs="Times New Roman"/>
          <w:b/>
          <w:bCs/>
          <w:color w:val="000000"/>
          <w:szCs w:val="18"/>
        </w:rPr>
      </w:pPr>
      <w:r>
        <w:rPr>
          <w:rFonts w:hint="default" w:ascii="Times New Roman" w:hAnsi="Times New Roman" w:cs="Times New Roman"/>
          <w:b/>
          <w:bCs/>
          <w:color w:val="000000"/>
          <w:szCs w:val="18"/>
        </w:rPr>
        <w:t>表8.2-1    环境监测工作内容一览表</w:t>
      </w:r>
    </w:p>
    <w:tbl>
      <w:tblPr>
        <w:tblStyle w:val="20"/>
        <w:tblW w:w="86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7"/>
        <w:gridCol w:w="756"/>
        <w:gridCol w:w="1796"/>
        <w:gridCol w:w="2888"/>
        <w:gridCol w:w="1185"/>
        <w:gridCol w:w="15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223" w:type="dxa"/>
            <w:gridSpan w:val="2"/>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监测要素</w:t>
            </w:r>
          </w:p>
        </w:tc>
        <w:tc>
          <w:tcPr>
            <w:tcW w:w="1796"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监测点位</w:t>
            </w:r>
          </w:p>
        </w:tc>
        <w:tc>
          <w:tcPr>
            <w:tcW w:w="2888"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监测项目</w:t>
            </w:r>
          </w:p>
        </w:tc>
        <w:tc>
          <w:tcPr>
            <w:tcW w:w="1185"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监测频次</w:t>
            </w:r>
          </w:p>
        </w:tc>
        <w:tc>
          <w:tcPr>
            <w:tcW w:w="1526" w:type="dxa"/>
            <w:noWrap w:val="0"/>
            <w:tcMar>
              <w:left w:w="0" w:type="dxa"/>
              <w:right w:w="0" w:type="dxa"/>
            </w:tcMar>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467" w:type="dxa"/>
            <w:vMerge w:val="restart"/>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污染源</w:t>
            </w:r>
          </w:p>
        </w:tc>
        <w:tc>
          <w:tcPr>
            <w:tcW w:w="756"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废气</w:t>
            </w:r>
          </w:p>
        </w:tc>
        <w:tc>
          <w:tcPr>
            <w:tcW w:w="1796"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医废处理车间有组织废气排气筒（P1）</w:t>
            </w:r>
          </w:p>
        </w:tc>
        <w:tc>
          <w:tcPr>
            <w:tcW w:w="2888"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非甲烷总烃、颗粒物、氨气、硫化氢、臭气浓度</w:t>
            </w:r>
          </w:p>
        </w:tc>
        <w:tc>
          <w:tcPr>
            <w:tcW w:w="1185"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1次/半年</w:t>
            </w:r>
          </w:p>
        </w:tc>
        <w:tc>
          <w:tcPr>
            <w:tcW w:w="1526" w:type="dxa"/>
            <w:vMerge w:val="restart"/>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《排污许可证申请与核发技术规范 工业固体废物和危险废物治理》（HJ1033-2019）</w:t>
            </w:r>
          </w:p>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467" w:type="dxa"/>
            <w:vMerge w:val="continue"/>
            <w:noWrap w:val="0"/>
            <w:tcMar>
              <w:left w:w="0" w:type="dxa"/>
              <w:right w:w="0" w:type="dxa"/>
            </w:tcMar>
            <w:vAlign w:val="center"/>
          </w:tcPr>
          <w:p>
            <w:pPr>
              <w:jc w:val="center"/>
              <w:rPr>
                <w:rFonts w:hint="default" w:ascii="Times New Roman" w:hAnsi="Times New Roman" w:cs="Times New Roman"/>
                <w:szCs w:val="21"/>
              </w:rPr>
            </w:pPr>
          </w:p>
        </w:tc>
        <w:tc>
          <w:tcPr>
            <w:tcW w:w="756" w:type="dxa"/>
            <w:vMerge w:val="continue"/>
            <w:noWrap w:val="0"/>
            <w:vAlign w:val="center"/>
          </w:tcPr>
          <w:p>
            <w:pPr>
              <w:jc w:val="center"/>
              <w:rPr>
                <w:rFonts w:hint="default" w:ascii="Times New Roman" w:hAnsi="Times New Roman" w:cs="Times New Roman"/>
                <w:szCs w:val="21"/>
              </w:rPr>
            </w:pPr>
          </w:p>
        </w:tc>
        <w:tc>
          <w:tcPr>
            <w:tcW w:w="1796"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场界外四周10m范围内设无组织排放监控点</w:t>
            </w:r>
          </w:p>
        </w:tc>
        <w:tc>
          <w:tcPr>
            <w:tcW w:w="2888"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非甲烷总烃、颗粒物、氨气、硫化氢、臭气浓度</w:t>
            </w:r>
          </w:p>
        </w:tc>
        <w:tc>
          <w:tcPr>
            <w:tcW w:w="1185"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1次/半年</w:t>
            </w:r>
          </w:p>
        </w:tc>
        <w:tc>
          <w:tcPr>
            <w:tcW w:w="1526" w:type="dxa"/>
            <w:vMerge w:val="continue"/>
            <w:noWrap w:val="0"/>
            <w:tcMar>
              <w:left w:w="0" w:type="dxa"/>
              <w:right w:w="0" w:type="dxa"/>
            </w:tcMar>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tcMar>
              <w:left w:w="0" w:type="dxa"/>
              <w:right w:w="0" w:type="dxa"/>
            </w:tcMar>
            <w:vAlign w:val="center"/>
          </w:tcPr>
          <w:p>
            <w:pPr>
              <w:jc w:val="center"/>
              <w:rPr>
                <w:rFonts w:hint="default" w:ascii="Times New Roman" w:hAnsi="Times New Roman" w:cs="Times New Roman"/>
                <w:szCs w:val="21"/>
                <w:highlight w:val="yellow"/>
              </w:rPr>
            </w:pPr>
          </w:p>
        </w:tc>
        <w:tc>
          <w:tcPr>
            <w:tcW w:w="756"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废水</w:t>
            </w:r>
          </w:p>
        </w:tc>
        <w:tc>
          <w:tcPr>
            <w:tcW w:w="1796"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一体化处理设施进口</w:t>
            </w:r>
          </w:p>
        </w:tc>
        <w:tc>
          <w:tcPr>
            <w:tcW w:w="2888" w:type="dxa"/>
            <w:vMerge w:val="restart"/>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 w:val="24"/>
              </w:rPr>
              <w:t>pH、</w:t>
            </w:r>
            <w:r>
              <w:rPr>
                <w:rFonts w:hint="default" w:ascii="Times New Roman" w:hAnsi="Times New Roman" w:cs="Times New Roman"/>
                <w:szCs w:val="21"/>
              </w:rPr>
              <w:t>COD、BOD</w:t>
            </w:r>
            <w:r>
              <w:rPr>
                <w:rFonts w:hint="default" w:ascii="Times New Roman" w:hAnsi="Times New Roman" w:cs="Times New Roman"/>
                <w:szCs w:val="21"/>
                <w:vertAlign w:val="subscript"/>
              </w:rPr>
              <w:t>5</w:t>
            </w:r>
            <w:r>
              <w:rPr>
                <w:rFonts w:hint="default" w:ascii="Times New Roman" w:hAnsi="Times New Roman" w:cs="Times New Roman"/>
                <w:szCs w:val="21"/>
              </w:rPr>
              <w:t>、SS、NH</w:t>
            </w:r>
            <w:r>
              <w:rPr>
                <w:rFonts w:hint="default" w:ascii="Times New Roman" w:hAnsi="Times New Roman" w:cs="Times New Roman"/>
                <w:szCs w:val="21"/>
                <w:vertAlign w:val="subscript"/>
              </w:rPr>
              <w:t>3</w:t>
            </w:r>
            <w:r>
              <w:rPr>
                <w:rFonts w:hint="default" w:ascii="Times New Roman" w:hAnsi="Times New Roman" w:cs="Times New Roman"/>
                <w:szCs w:val="21"/>
              </w:rPr>
              <w:t>-N、色度、总余氯、粪大肠菌群</w:t>
            </w:r>
          </w:p>
        </w:tc>
        <w:tc>
          <w:tcPr>
            <w:tcW w:w="1185" w:type="dxa"/>
            <w:vMerge w:val="restart"/>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1次/季度</w:t>
            </w:r>
          </w:p>
        </w:tc>
        <w:tc>
          <w:tcPr>
            <w:tcW w:w="1526" w:type="dxa"/>
            <w:vMerge w:val="continue"/>
            <w:noWrap w:val="0"/>
            <w:tcMar>
              <w:left w:w="0" w:type="dxa"/>
              <w:right w:w="0" w:type="dxa"/>
            </w:tcMar>
            <w:vAlign w:val="center"/>
          </w:tcPr>
          <w:p>
            <w:pPr>
              <w:jc w:val="center"/>
              <w:rPr>
                <w:rFonts w:hint="default" w:ascii="Times New Roman" w:hAnsi="Times New Roman" w:cs="Times New Roman"/>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tcMar>
              <w:left w:w="0" w:type="dxa"/>
              <w:right w:w="0" w:type="dxa"/>
            </w:tcMar>
            <w:vAlign w:val="center"/>
          </w:tcPr>
          <w:p>
            <w:pPr>
              <w:jc w:val="center"/>
              <w:rPr>
                <w:rFonts w:hint="default" w:ascii="Times New Roman" w:hAnsi="Times New Roman" w:cs="Times New Roman"/>
                <w:szCs w:val="21"/>
                <w:highlight w:val="yellow"/>
              </w:rPr>
            </w:pPr>
          </w:p>
        </w:tc>
        <w:tc>
          <w:tcPr>
            <w:tcW w:w="756" w:type="dxa"/>
            <w:vMerge w:val="continue"/>
            <w:noWrap w:val="0"/>
            <w:vAlign w:val="center"/>
          </w:tcPr>
          <w:p>
            <w:pPr>
              <w:jc w:val="center"/>
              <w:rPr>
                <w:rFonts w:hint="default" w:ascii="Times New Roman" w:hAnsi="Times New Roman" w:cs="Times New Roman"/>
                <w:szCs w:val="21"/>
              </w:rPr>
            </w:pPr>
          </w:p>
        </w:tc>
        <w:tc>
          <w:tcPr>
            <w:tcW w:w="1796"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一体化处理设施出口</w:t>
            </w:r>
          </w:p>
        </w:tc>
        <w:tc>
          <w:tcPr>
            <w:tcW w:w="2888" w:type="dxa"/>
            <w:vMerge w:val="continue"/>
            <w:noWrap w:val="0"/>
            <w:tcMar>
              <w:left w:w="0" w:type="dxa"/>
              <w:right w:w="0" w:type="dxa"/>
            </w:tcMar>
            <w:vAlign w:val="center"/>
          </w:tcPr>
          <w:p>
            <w:pPr>
              <w:jc w:val="center"/>
              <w:rPr>
                <w:rFonts w:hint="default" w:ascii="Times New Roman" w:hAnsi="Times New Roman" w:cs="Times New Roman"/>
                <w:sz w:val="24"/>
              </w:rPr>
            </w:pPr>
          </w:p>
        </w:tc>
        <w:tc>
          <w:tcPr>
            <w:tcW w:w="1185" w:type="dxa"/>
            <w:vMerge w:val="continue"/>
            <w:noWrap w:val="0"/>
            <w:tcMar>
              <w:left w:w="0" w:type="dxa"/>
              <w:right w:w="0" w:type="dxa"/>
            </w:tcMar>
            <w:vAlign w:val="center"/>
          </w:tcPr>
          <w:p>
            <w:pPr>
              <w:jc w:val="center"/>
              <w:rPr>
                <w:rFonts w:hint="default" w:ascii="Times New Roman" w:hAnsi="Times New Roman" w:cs="Times New Roman"/>
                <w:szCs w:val="21"/>
              </w:rPr>
            </w:pPr>
          </w:p>
        </w:tc>
        <w:tc>
          <w:tcPr>
            <w:tcW w:w="1526" w:type="dxa"/>
            <w:vMerge w:val="continue"/>
            <w:noWrap w:val="0"/>
            <w:tcMar>
              <w:left w:w="0" w:type="dxa"/>
              <w:right w:w="0" w:type="dxa"/>
            </w:tcMar>
            <w:vAlign w:val="center"/>
          </w:tcPr>
          <w:p>
            <w:pPr>
              <w:jc w:val="center"/>
              <w:rPr>
                <w:rFonts w:hint="default" w:ascii="Times New Roman" w:hAnsi="Times New Roman" w:cs="Times New Roman"/>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tcMar>
              <w:left w:w="0" w:type="dxa"/>
              <w:right w:w="0" w:type="dxa"/>
            </w:tcMar>
            <w:vAlign w:val="center"/>
          </w:tcPr>
          <w:p>
            <w:pPr>
              <w:jc w:val="center"/>
              <w:rPr>
                <w:rFonts w:hint="default" w:ascii="Times New Roman" w:hAnsi="Times New Roman" w:cs="Times New Roman"/>
                <w:szCs w:val="21"/>
                <w:highlight w:val="yellow"/>
              </w:rPr>
            </w:pPr>
          </w:p>
        </w:tc>
        <w:tc>
          <w:tcPr>
            <w:tcW w:w="756" w:type="dxa"/>
            <w:vMerge w:val="continue"/>
            <w:noWrap w:val="0"/>
            <w:vAlign w:val="center"/>
          </w:tcPr>
          <w:p>
            <w:pPr>
              <w:jc w:val="center"/>
              <w:rPr>
                <w:rFonts w:hint="default" w:ascii="Times New Roman" w:hAnsi="Times New Roman" w:cs="Times New Roman"/>
                <w:szCs w:val="21"/>
              </w:rPr>
            </w:pPr>
          </w:p>
        </w:tc>
        <w:tc>
          <w:tcPr>
            <w:tcW w:w="1796"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化粪池出水</w:t>
            </w:r>
          </w:p>
        </w:tc>
        <w:tc>
          <w:tcPr>
            <w:tcW w:w="2888" w:type="dxa"/>
            <w:noWrap w:val="0"/>
            <w:tcMar>
              <w:left w:w="0" w:type="dxa"/>
              <w:right w:w="0" w:type="dxa"/>
            </w:tcMar>
            <w:vAlign w:val="center"/>
          </w:tcPr>
          <w:p>
            <w:pPr>
              <w:jc w:val="center"/>
              <w:rPr>
                <w:rFonts w:hint="default" w:ascii="Times New Roman" w:hAnsi="Times New Roman" w:cs="Times New Roman"/>
                <w:sz w:val="24"/>
              </w:rPr>
            </w:pPr>
            <w:r>
              <w:rPr>
                <w:rFonts w:hint="default" w:ascii="Times New Roman" w:hAnsi="Times New Roman" w:cs="Times New Roman"/>
                <w:sz w:val="24"/>
              </w:rPr>
              <w:t>pH、</w:t>
            </w:r>
            <w:r>
              <w:rPr>
                <w:rFonts w:hint="default" w:ascii="Times New Roman" w:hAnsi="Times New Roman" w:cs="Times New Roman"/>
                <w:szCs w:val="21"/>
              </w:rPr>
              <w:t>COD、BOD</w:t>
            </w:r>
            <w:r>
              <w:rPr>
                <w:rFonts w:hint="default" w:ascii="Times New Roman" w:hAnsi="Times New Roman" w:cs="Times New Roman"/>
                <w:szCs w:val="21"/>
                <w:vertAlign w:val="subscript"/>
              </w:rPr>
              <w:t>5</w:t>
            </w:r>
            <w:r>
              <w:rPr>
                <w:rFonts w:hint="default" w:ascii="Times New Roman" w:hAnsi="Times New Roman" w:cs="Times New Roman"/>
                <w:szCs w:val="21"/>
              </w:rPr>
              <w:t>、SS、NH</w:t>
            </w:r>
            <w:r>
              <w:rPr>
                <w:rFonts w:hint="default" w:ascii="Times New Roman" w:hAnsi="Times New Roman" w:cs="Times New Roman"/>
                <w:szCs w:val="21"/>
                <w:vertAlign w:val="subscript"/>
              </w:rPr>
              <w:t>3</w:t>
            </w:r>
            <w:r>
              <w:rPr>
                <w:rFonts w:hint="default" w:ascii="Times New Roman" w:hAnsi="Times New Roman" w:cs="Times New Roman"/>
                <w:szCs w:val="21"/>
              </w:rPr>
              <w:t>-N、动植物油、粪大肠菌群、总磷</w:t>
            </w:r>
          </w:p>
        </w:tc>
        <w:tc>
          <w:tcPr>
            <w:tcW w:w="1185"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1次/季度</w:t>
            </w:r>
          </w:p>
        </w:tc>
        <w:tc>
          <w:tcPr>
            <w:tcW w:w="1526" w:type="dxa"/>
            <w:vMerge w:val="continue"/>
            <w:noWrap w:val="0"/>
            <w:tcMar>
              <w:left w:w="0" w:type="dxa"/>
              <w:right w:w="0" w:type="dxa"/>
            </w:tcMar>
            <w:vAlign w:val="center"/>
          </w:tcPr>
          <w:p>
            <w:pPr>
              <w:jc w:val="center"/>
              <w:rPr>
                <w:rFonts w:hint="default" w:ascii="Times New Roman" w:hAnsi="Times New Roman" w:cs="Times New Roman"/>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467" w:type="dxa"/>
            <w:vMerge w:val="continue"/>
            <w:noWrap w:val="0"/>
            <w:tcMar>
              <w:left w:w="0" w:type="dxa"/>
              <w:right w:w="0" w:type="dxa"/>
            </w:tcMar>
            <w:vAlign w:val="center"/>
          </w:tcPr>
          <w:p>
            <w:pPr>
              <w:jc w:val="center"/>
              <w:rPr>
                <w:rFonts w:hint="default" w:ascii="Times New Roman" w:hAnsi="Times New Roman" w:cs="Times New Roman"/>
                <w:szCs w:val="21"/>
                <w:highlight w:val="yellow"/>
              </w:rPr>
            </w:pPr>
          </w:p>
        </w:tc>
        <w:tc>
          <w:tcPr>
            <w:tcW w:w="756"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噪声</w:t>
            </w:r>
          </w:p>
        </w:tc>
        <w:tc>
          <w:tcPr>
            <w:tcW w:w="1796"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场界外四周1m处</w:t>
            </w:r>
          </w:p>
        </w:tc>
        <w:tc>
          <w:tcPr>
            <w:tcW w:w="2888"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等效连续A声级</w:t>
            </w:r>
          </w:p>
        </w:tc>
        <w:tc>
          <w:tcPr>
            <w:tcW w:w="1185"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1次/季</w:t>
            </w:r>
          </w:p>
          <w:p>
            <w:pPr>
              <w:jc w:val="center"/>
              <w:rPr>
                <w:rFonts w:hint="default" w:ascii="Times New Roman" w:hAnsi="Times New Roman" w:cs="Times New Roman"/>
                <w:szCs w:val="21"/>
              </w:rPr>
            </w:pPr>
            <w:r>
              <w:rPr>
                <w:rFonts w:hint="default" w:ascii="Times New Roman" w:hAnsi="Times New Roman" w:cs="Times New Roman"/>
                <w:szCs w:val="21"/>
              </w:rPr>
              <w:t>昼夜两时段</w:t>
            </w:r>
          </w:p>
        </w:tc>
        <w:tc>
          <w:tcPr>
            <w:tcW w:w="1526" w:type="dxa"/>
            <w:vMerge w:val="continue"/>
            <w:noWrap w:val="0"/>
            <w:tcMar>
              <w:left w:w="0" w:type="dxa"/>
              <w:right w:w="0" w:type="dxa"/>
            </w:tcMar>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67" w:type="dxa"/>
            <w:vMerge w:val="continue"/>
            <w:noWrap w:val="0"/>
            <w:tcMar>
              <w:left w:w="0" w:type="dxa"/>
              <w:right w:w="0" w:type="dxa"/>
            </w:tcMar>
            <w:vAlign w:val="center"/>
          </w:tcPr>
          <w:p>
            <w:pPr>
              <w:jc w:val="center"/>
              <w:rPr>
                <w:rFonts w:hint="default" w:ascii="Times New Roman" w:hAnsi="Times New Roman" w:cs="Times New Roman"/>
                <w:szCs w:val="21"/>
                <w:highlight w:val="yellow"/>
              </w:rPr>
            </w:pPr>
          </w:p>
        </w:tc>
        <w:tc>
          <w:tcPr>
            <w:tcW w:w="756"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固废</w:t>
            </w:r>
          </w:p>
        </w:tc>
        <w:tc>
          <w:tcPr>
            <w:tcW w:w="1796"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场区固废产生量</w:t>
            </w:r>
          </w:p>
        </w:tc>
        <w:tc>
          <w:tcPr>
            <w:tcW w:w="2888"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统计种类、产生量、处理方式、去向</w:t>
            </w:r>
          </w:p>
        </w:tc>
        <w:tc>
          <w:tcPr>
            <w:tcW w:w="1185"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1次/年</w:t>
            </w:r>
          </w:p>
        </w:tc>
        <w:tc>
          <w:tcPr>
            <w:tcW w:w="1526"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67" w:type="dxa"/>
            <w:vMerge w:val="continue"/>
            <w:noWrap w:val="0"/>
            <w:tcMar>
              <w:left w:w="0" w:type="dxa"/>
              <w:right w:w="0" w:type="dxa"/>
            </w:tcMar>
            <w:vAlign w:val="center"/>
          </w:tcPr>
          <w:p>
            <w:pPr>
              <w:jc w:val="center"/>
              <w:rPr>
                <w:rFonts w:hint="default" w:ascii="Times New Roman" w:hAnsi="Times New Roman" w:cs="Times New Roman"/>
                <w:szCs w:val="21"/>
                <w:highlight w:val="yellow"/>
              </w:rPr>
            </w:pPr>
          </w:p>
        </w:tc>
        <w:tc>
          <w:tcPr>
            <w:tcW w:w="756"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病原体</w:t>
            </w:r>
          </w:p>
        </w:tc>
        <w:tc>
          <w:tcPr>
            <w:tcW w:w="1796"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处理后医疗垃圾</w:t>
            </w:r>
          </w:p>
        </w:tc>
        <w:tc>
          <w:tcPr>
            <w:tcW w:w="2888"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枯草杆菌黑色变种芽孢（ATCC 9372）</w:t>
            </w:r>
          </w:p>
        </w:tc>
        <w:tc>
          <w:tcPr>
            <w:tcW w:w="1185" w:type="dxa"/>
            <w:noWrap w:val="0"/>
            <w:tcMar>
              <w:left w:w="0" w:type="dxa"/>
              <w:right w:w="0"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1次/季度</w:t>
            </w:r>
          </w:p>
        </w:tc>
        <w:tc>
          <w:tcPr>
            <w:tcW w:w="1526" w:type="dxa"/>
            <w:noWrap w:val="0"/>
            <w:tcMar>
              <w:left w:w="0" w:type="dxa"/>
              <w:right w:w="0" w:type="dxa"/>
            </w:tcMar>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b w:val="0"/>
                <w:bCs w:val="0"/>
                <w:color w:val="auto"/>
                <w:sz w:val="21"/>
                <w:szCs w:val="21"/>
                <w:highlight w:val="none"/>
                <w:lang w:val="en-US" w:eastAsia="zh-CN"/>
              </w:rPr>
              <w:t>根据</w:t>
            </w:r>
            <w:r>
              <w:rPr>
                <w:rFonts w:hint="default" w:ascii="Times New Roman" w:hAnsi="Times New Roman" w:cs="Times New Roman"/>
                <w:b w:val="0"/>
                <w:bCs w:val="0"/>
                <w:color w:val="auto"/>
                <w:sz w:val="21"/>
                <w:szCs w:val="21"/>
                <w:highlight w:val="none"/>
                <w:lang w:eastAsia="zh-CN"/>
              </w:rPr>
              <w:t>《医疗废物</w:t>
            </w:r>
            <w:r>
              <w:rPr>
                <w:rFonts w:hint="default" w:ascii="Times New Roman" w:hAnsi="Times New Roman" w:cs="Times New Roman"/>
                <w:b w:val="0"/>
                <w:bCs w:val="0"/>
                <w:color w:val="auto"/>
                <w:sz w:val="21"/>
                <w:szCs w:val="21"/>
                <w:highlight w:val="none"/>
                <w:lang w:val="en-US" w:eastAsia="zh-CN"/>
              </w:rPr>
              <w:t>高温蒸汽</w:t>
            </w:r>
            <w:r>
              <w:rPr>
                <w:rFonts w:hint="default" w:ascii="Times New Roman" w:hAnsi="Times New Roman" w:cs="Times New Roman"/>
                <w:b w:val="0"/>
                <w:bCs w:val="0"/>
                <w:color w:val="auto"/>
                <w:sz w:val="21"/>
                <w:szCs w:val="21"/>
                <w:highlight w:val="none"/>
                <w:lang w:eastAsia="zh-CN"/>
              </w:rPr>
              <w:t>消毒集中处理工程技术规范》</w:t>
            </w:r>
            <w:r>
              <w:rPr>
                <w:rFonts w:hint="default" w:ascii="Times New Roman" w:hAnsi="Times New Roman" w:cs="Times New Roman"/>
                <w:b w:val="0"/>
                <w:bCs w:val="0"/>
                <w:color w:val="auto"/>
                <w:sz w:val="21"/>
                <w:szCs w:val="21"/>
                <w:highlight w:val="none"/>
              </w:rPr>
              <w:t>（HJ</w:t>
            </w:r>
            <w:r>
              <w:rPr>
                <w:rFonts w:hint="default" w:ascii="Times New Roman" w:hAnsi="Times New Roman" w:cs="Times New Roman"/>
                <w:b w:val="0"/>
                <w:bCs w:val="0"/>
                <w:color w:val="auto"/>
                <w:sz w:val="21"/>
                <w:szCs w:val="21"/>
                <w:highlight w:val="none"/>
                <w:lang w:val="en-US" w:eastAsia="zh-CN"/>
              </w:rPr>
              <w:t>276</w:t>
            </w:r>
            <w:r>
              <w:rPr>
                <w:rFonts w:hint="default" w:ascii="Times New Roman" w:hAnsi="Times New Roman" w:cs="Times New Roman"/>
                <w:b w:val="0"/>
                <w:bCs w:val="0"/>
                <w:color w:val="auto"/>
                <w:sz w:val="21"/>
                <w:szCs w:val="21"/>
                <w:highlight w:val="none"/>
              </w:rPr>
              <w:t>-2021）</w:t>
            </w:r>
            <w:r>
              <w:rPr>
                <w:rFonts w:hint="eastAsia" w:ascii="Times New Roman" w:hAnsi="Times New Roman" w:cs="Times New Roman"/>
                <w:b w:val="0"/>
                <w:bCs w:val="0"/>
                <w:color w:val="auto"/>
                <w:sz w:val="21"/>
                <w:szCs w:val="21"/>
                <w:highlight w:val="none"/>
                <w:lang w:val="en-US" w:eastAsia="zh-CN"/>
              </w:rPr>
              <w:t>中相关要求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467" w:type="dxa"/>
            <w:vMerge w:val="restart"/>
            <w:noWrap w:val="0"/>
            <w:tcMar>
              <w:left w:w="0" w:type="dxa"/>
              <w:right w:w="0" w:type="dxa"/>
            </w:tcMar>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环境质量</w:t>
            </w:r>
          </w:p>
        </w:tc>
        <w:tc>
          <w:tcPr>
            <w:tcW w:w="756" w:type="dxa"/>
            <w:noWrap w:val="0"/>
            <w:vAlign w:val="center"/>
          </w:tcPr>
          <w:p>
            <w:pPr>
              <w:jc w:val="center"/>
              <w:rPr>
                <w:rFonts w:hint="eastAsia" w:ascii="Times New Roman" w:hAnsi="Times New Roman" w:cs="Times New Roman" w:eastAsiaTheme="minorEastAsia"/>
                <w:color w:val="000000"/>
                <w:szCs w:val="21"/>
                <w:highlight w:val="none"/>
                <w:lang w:val="en-US" w:eastAsia="zh-CN"/>
              </w:rPr>
            </w:pPr>
            <w:r>
              <w:rPr>
                <w:rFonts w:hint="eastAsia" w:ascii="Times New Roman" w:hAnsi="Times New Roman" w:cs="Times New Roman"/>
                <w:color w:val="000000"/>
                <w:szCs w:val="21"/>
                <w:highlight w:val="none"/>
                <w:lang w:val="en-US" w:eastAsia="zh-CN"/>
              </w:rPr>
              <w:t>大气环境</w:t>
            </w:r>
          </w:p>
        </w:tc>
        <w:tc>
          <w:tcPr>
            <w:tcW w:w="1796" w:type="dxa"/>
            <w:noWrap w:val="0"/>
            <w:tcMar>
              <w:left w:w="0" w:type="dxa"/>
              <w:right w:w="0" w:type="dxa"/>
            </w:tcMar>
            <w:vAlign w:val="center"/>
          </w:tcPr>
          <w:p>
            <w:pPr>
              <w:jc w:val="center"/>
              <w:rPr>
                <w:rFonts w:hint="default" w:ascii="Times New Roman" w:hAnsi="Times New Roman" w:cs="Times New Roman" w:eastAsiaTheme="minorEastAsia"/>
                <w:color w:val="000000"/>
                <w:szCs w:val="21"/>
                <w:highlight w:val="none"/>
                <w:lang w:val="en-US" w:eastAsia="zh-CN"/>
              </w:rPr>
            </w:pPr>
            <w:r>
              <w:rPr>
                <w:rFonts w:hint="eastAsia" w:ascii="Times New Roman" w:hAnsi="Times New Roman" w:cs="Times New Roman"/>
                <w:color w:val="000000"/>
                <w:szCs w:val="21"/>
                <w:highlight w:val="none"/>
                <w:lang w:val="en-US" w:eastAsia="zh-CN"/>
              </w:rPr>
              <w:t>主导风向下风向</w:t>
            </w:r>
          </w:p>
        </w:tc>
        <w:tc>
          <w:tcPr>
            <w:tcW w:w="2888" w:type="dxa"/>
            <w:noWrap w:val="0"/>
            <w:tcMar>
              <w:left w:w="0" w:type="dxa"/>
              <w:right w:w="0" w:type="dxa"/>
            </w:tcMar>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szCs w:val="21"/>
                <w:highlight w:val="none"/>
              </w:rPr>
              <w:t>非甲烷总烃、颗粒物、氨气、硫化氢、臭气浓度</w:t>
            </w:r>
          </w:p>
        </w:tc>
        <w:tc>
          <w:tcPr>
            <w:tcW w:w="1185" w:type="dxa"/>
            <w:noWrap w:val="0"/>
            <w:tcMar>
              <w:left w:w="0" w:type="dxa"/>
              <w:right w:w="0" w:type="dxa"/>
            </w:tcMar>
            <w:vAlign w:val="center"/>
          </w:tcPr>
          <w:p>
            <w:pPr>
              <w:jc w:val="center"/>
              <w:rPr>
                <w:rFonts w:hint="default" w:ascii="Times New Roman" w:hAnsi="Times New Roman" w:cs="Times New Roman" w:eastAsiaTheme="minorEastAsia"/>
                <w:color w:val="000000"/>
                <w:szCs w:val="21"/>
                <w:highlight w:val="none"/>
                <w:lang w:val="en-US" w:eastAsia="zh-CN"/>
              </w:rPr>
            </w:pPr>
            <w:r>
              <w:rPr>
                <w:rFonts w:hint="eastAsia" w:ascii="Times New Roman" w:hAnsi="Times New Roman" w:cs="Times New Roman"/>
                <w:color w:val="000000"/>
                <w:szCs w:val="21"/>
                <w:highlight w:val="none"/>
                <w:lang w:val="en-US" w:eastAsia="zh-CN"/>
              </w:rPr>
              <w:t>1次/年</w:t>
            </w:r>
          </w:p>
        </w:tc>
        <w:tc>
          <w:tcPr>
            <w:tcW w:w="1526" w:type="dxa"/>
            <w:noWrap w:val="0"/>
            <w:tcMar>
              <w:left w:w="0" w:type="dxa"/>
              <w:right w:w="0" w:type="dxa"/>
            </w:tcMar>
            <w:vAlign w:val="center"/>
          </w:tcPr>
          <w:p>
            <w:pPr>
              <w:jc w:val="center"/>
              <w:rPr>
                <w:rFonts w:hint="eastAsia" w:ascii="Times New Roman" w:hAnsi="Times New Roman" w:cs="Times New Roman" w:eastAsiaTheme="minorEastAsia"/>
                <w:color w:val="000000"/>
                <w:szCs w:val="21"/>
                <w:highlight w:val="none"/>
                <w:lang w:eastAsia="zh-CN"/>
              </w:rPr>
            </w:pPr>
            <w:r>
              <w:rPr>
                <w:rFonts w:hint="eastAsia" w:ascii="Times New Roman" w:hAnsi="Times New Roman" w:cs="Times New Roman"/>
                <w:color w:val="000000"/>
                <w:szCs w:val="21"/>
                <w:highlight w:val="none"/>
                <w:lang w:eastAsia="zh-CN"/>
              </w:rPr>
              <w:t>《</w:t>
            </w:r>
            <w:r>
              <w:rPr>
                <w:rFonts w:hint="eastAsia" w:ascii="Times New Roman" w:hAnsi="Times New Roman" w:cs="Times New Roman"/>
                <w:color w:val="000000"/>
                <w:szCs w:val="21"/>
                <w:highlight w:val="none"/>
                <w:lang w:val="en-US" w:eastAsia="zh-CN"/>
              </w:rPr>
              <w:t>排污单位自行监测技术指南 总则</w:t>
            </w:r>
            <w:r>
              <w:rPr>
                <w:rFonts w:hint="eastAsia" w:ascii="Times New Roman" w:hAnsi="Times New Roman" w:cs="Times New Roman"/>
                <w:color w:val="000000"/>
                <w:szCs w:val="21"/>
                <w:highlight w:val="none"/>
                <w:lang w:eastAsia="zh-CN"/>
              </w:rPr>
              <w:t>》（</w:t>
            </w:r>
            <w:r>
              <w:rPr>
                <w:rFonts w:hint="eastAsia" w:ascii="Times New Roman" w:hAnsi="Times New Roman" w:cs="Times New Roman"/>
                <w:color w:val="000000"/>
                <w:szCs w:val="21"/>
                <w:highlight w:val="none"/>
                <w:lang w:val="en-US" w:eastAsia="zh-CN"/>
              </w:rPr>
              <w:t>HJ819-2017</w:t>
            </w:r>
            <w:r>
              <w:rPr>
                <w:rFonts w:hint="eastAsia" w:ascii="Times New Roman" w:hAnsi="Times New Roman" w:cs="Times New Roman"/>
                <w:color w:val="000000"/>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467" w:type="dxa"/>
            <w:vMerge w:val="continue"/>
            <w:noWrap w:val="0"/>
            <w:tcMar>
              <w:left w:w="0" w:type="dxa"/>
              <w:right w:w="0" w:type="dxa"/>
            </w:tcMar>
            <w:vAlign w:val="center"/>
          </w:tcPr>
          <w:p>
            <w:pPr>
              <w:jc w:val="center"/>
            </w:pPr>
          </w:p>
        </w:tc>
        <w:tc>
          <w:tcPr>
            <w:tcW w:w="756"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地下水</w:t>
            </w:r>
          </w:p>
        </w:tc>
        <w:tc>
          <w:tcPr>
            <w:tcW w:w="1796" w:type="dxa"/>
            <w:noWrap w:val="0"/>
            <w:tcMar>
              <w:left w:w="0" w:type="dxa"/>
              <w:right w:w="0" w:type="dxa"/>
            </w:tcMar>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地下水监测井</w:t>
            </w:r>
          </w:p>
        </w:tc>
        <w:tc>
          <w:tcPr>
            <w:tcW w:w="2888" w:type="dxa"/>
            <w:noWrap w:val="0"/>
            <w:tcMar>
              <w:left w:w="0" w:type="dxa"/>
              <w:right w:w="0" w:type="dxa"/>
            </w:tcMar>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H、总硬度、溶解性总固体、铁、锰、挥发酚、耗氧量、氨氮、钾离子、钠离子、钙离子、镁离子、碳酸盐、重碳酸盐、氯离子、硫酸根、硝酸盐氮、亚硝酸盐氮、氰化物、砷、汞、六价铬、铅、镉、总大肠菌群、细菌总数、硫酸盐、氯化物、氟化物、硫化物，同时记录采样水温、水井井深、水位，采样点海拔高度。</w:t>
            </w:r>
          </w:p>
        </w:tc>
        <w:tc>
          <w:tcPr>
            <w:tcW w:w="1185" w:type="dxa"/>
            <w:noWrap w:val="0"/>
            <w:tcMar>
              <w:left w:w="0" w:type="dxa"/>
              <w:right w:w="0" w:type="dxa"/>
            </w:tcMar>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1次/半年</w:t>
            </w:r>
          </w:p>
        </w:tc>
        <w:tc>
          <w:tcPr>
            <w:tcW w:w="1526" w:type="dxa"/>
            <w:noWrap w:val="0"/>
            <w:tcMar>
              <w:left w:w="0" w:type="dxa"/>
              <w:right w:w="0" w:type="dxa"/>
            </w:tcMar>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《环境影响评价技术导则 地下水环境》（HJ610-2016）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tcMar>
              <w:left w:w="0" w:type="dxa"/>
              <w:right w:w="0" w:type="dxa"/>
            </w:tcMar>
            <w:vAlign w:val="center"/>
          </w:tcPr>
          <w:p>
            <w:pPr>
              <w:jc w:val="center"/>
              <w:rPr>
                <w:rFonts w:hint="default" w:ascii="Times New Roman" w:hAnsi="Times New Roman" w:cs="Times New Roman"/>
                <w:color w:val="000000"/>
                <w:szCs w:val="21"/>
              </w:rPr>
            </w:pPr>
          </w:p>
        </w:tc>
        <w:tc>
          <w:tcPr>
            <w:tcW w:w="756" w:type="dxa"/>
            <w:vMerge w:val="restart"/>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土壤</w:t>
            </w:r>
          </w:p>
        </w:tc>
        <w:tc>
          <w:tcPr>
            <w:tcW w:w="1796" w:type="dxa"/>
            <w:noWrap w:val="0"/>
            <w:tcMar>
              <w:left w:w="0" w:type="dxa"/>
              <w:right w:w="0" w:type="dxa"/>
            </w:tcMar>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项目区内调节池下游</w:t>
            </w:r>
          </w:p>
        </w:tc>
        <w:tc>
          <w:tcPr>
            <w:tcW w:w="2888" w:type="dxa"/>
            <w:noWrap w:val="0"/>
            <w:tcMar>
              <w:left w:w="0" w:type="dxa"/>
              <w:right w:w="0" w:type="dxa"/>
            </w:tcMar>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tc>
        <w:tc>
          <w:tcPr>
            <w:tcW w:w="1185" w:type="dxa"/>
            <w:noWrap w:val="0"/>
            <w:tcMar>
              <w:left w:w="0" w:type="dxa"/>
              <w:right w:w="0" w:type="dxa"/>
            </w:tcMar>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1次/</w:t>
            </w:r>
            <w:r>
              <w:rPr>
                <w:rFonts w:hint="eastAsia" w:ascii="Times New Roman" w:hAnsi="Times New Roman" w:cs="Times New Roman"/>
                <w:color w:val="000000"/>
                <w:szCs w:val="21"/>
                <w:lang w:val="en-US" w:eastAsia="zh-CN"/>
              </w:rPr>
              <w:t>5</w:t>
            </w:r>
            <w:r>
              <w:rPr>
                <w:rFonts w:hint="default" w:ascii="Times New Roman" w:hAnsi="Times New Roman" w:cs="Times New Roman"/>
                <w:color w:val="000000"/>
                <w:szCs w:val="21"/>
              </w:rPr>
              <w:t>年</w:t>
            </w:r>
          </w:p>
        </w:tc>
        <w:tc>
          <w:tcPr>
            <w:tcW w:w="1526" w:type="dxa"/>
            <w:vMerge w:val="restart"/>
            <w:noWrap w:val="0"/>
            <w:tcMar>
              <w:left w:w="0" w:type="dxa"/>
              <w:right w:w="0" w:type="dxa"/>
            </w:tcMar>
            <w:vAlign w:val="center"/>
          </w:tcPr>
          <w:p>
            <w:pPr>
              <w:jc w:val="center"/>
              <w:rPr>
                <w:rFonts w:hint="default" w:ascii="Times New Roman" w:hAnsi="Times New Roman" w:cs="Times New Roman"/>
                <w:color w:val="000000"/>
                <w:szCs w:val="21"/>
                <w:highlight w:val="yellow"/>
              </w:rPr>
            </w:pPr>
            <w:r>
              <w:rPr>
                <w:rFonts w:hint="default" w:ascii="Times New Roman" w:hAnsi="Times New Roman" w:cs="Times New Roman"/>
                <w:color w:val="000000"/>
                <w:szCs w:val="21"/>
              </w:rPr>
              <w:t>《环境影响评价技术导则  土壤环境(试行)》（HJ964-2018）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tcMar>
              <w:left w:w="0" w:type="dxa"/>
              <w:right w:w="0" w:type="dxa"/>
            </w:tcMar>
            <w:vAlign w:val="center"/>
          </w:tcPr>
          <w:p>
            <w:pPr>
              <w:jc w:val="center"/>
              <w:rPr>
                <w:rFonts w:hint="default" w:ascii="Times New Roman" w:hAnsi="Times New Roman" w:cs="Times New Roman"/>
                <w:color w:val="000000"/>
                <w:szCs w:val="21"/>
              </w:rPr>
            </w:pPr>
          </w:p>
        </w:tc>
        <w:tc>
          <w:tcPr>
            <w:tcW w:w="756" w:type="dxa"/>
            <w:vMerge w:val="continue"/>
            <w:noWrap w:val="0"/>
            <w:vAlign w:val="center"/>
          </w:tcPr>
          <w:p>
            <w:pPr>
              <w:jc w:val="center"/>
              <w:rPr>
                <w:rFonts w:hint="default" w:ascii="Times New Roman" w:hAnsi="Times New Roman" w:cs="Times New Roman"/>
                <w:color w:val="000000"/>
                <w:szCs w:val="21"/>
              </w:rPr>
            </w:pPr>
          </w:p>
        </w:tc>
        <w:tc>
          <w:tcPr>
            <w:tcW w:w="1796" w:type="dxa"/>
            <w:noWrap w:val="0"/>
            <w:tcMar>
              <w:left w:w="0" w:type="dxa"/>
              <w:right w:w="0" w:type="dxa"/>
            </w:tcMar>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项目区外下风向</w:t>
            </w:r>
          </w:p>
        </w:tc>
        <w:tc>
          <w:tcPr>
            <w:tcW w:w="2888" w:type="dxa"/>
            <w:noWrap w:val="0"/>
            <w:tcMar>
              <w:left w:w="0" w:type="dxa"/>
              <w:right w:w="0" w:type="dxa"/>
            </w:tcMar>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pH、镉、汞、砷、铅、铬、铜、镍、锌</w:t>
            </w:r>
          </w:p>
        </w:tc>
        <w:tc>
          <w:tcPr>
            <w:tcW w:w="1185" w:type="dxa"/>
            <w:noWrap w:val="0"/>
            <w:tcMar>
              <w:left w:w="0" w:type="dxa"/>
              <w:right w:w="0" w:type="dxa"/>
            </w:tcMar>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1次/</w:t>
            </w:r>
            <w:r>
              <w:rPr>
                <w:rFonts w:hint="eastAsia" w:ascii="Times New Roman" w:hAnsi="Times New Roman" w:cs="Times New Roman"/>
                <w:color w:val="000000"/>
                <w:szCs w:val="21"/>
                <w:lang w:val="en-US" w:eastAsia="zh-CN"/>
              </w:rPr>
              <w:t>5</w:t>
            </w:r>
            <w:r>
              <w:rPr>
                <w:rFonts w:hint="default" w:ascii="Times New Roman" w:hAnsi="Times New Roman" w:cs="Times New Roman"/>
                <w:color w:val="000000"/>
                <w:szCs w:val="21"/>
              </w:rPr>
              <w:t>年</w:t>
            </w:r>
          </w:p>
        </w:tc>
        <w:tc>
          <w:tcPr>
            <w:tcW w:w="1526" w:type="dxa"/>
            <w:vMerge w:val="continue"/>
            <w:noWrap w:val="0"/>
            <w:tcMar>
              <w:left w:w="0" w:type="dxa"/>
              <w:right w:w="0" w:type="dxa"/>
            </w:tcMar>
            <w:vAlign w:val="center"/>
          </w:tcPr>
          <w:p>
            <w:pPr>
              <w:jc w:val="center"/>
              <w:rPr>
                <w:rFonts w:hint="default" w:ascii="Times New Roman" w:hAnsi="Times New Roman" w:cs="Times New Roman"/>
                <w:color w:val="000000"/>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noWrap w:val="0"/>
            <w:tcMar>
              <w:left w:w="0" w:type="dxa"/>
              <w:right w:w="0" w:type="dxa"/>
            </w:tcMar>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其他</w:t>
            </w:r>
          </w:p>
        </w:tc>
        <w:tc>
          <w:tcPr>
            <w:tcW w:w="756" w:type="dxa"/>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固废</w:t>
            </w:r>
          </w:p>
        </w:tc>
        <w:tc>
          <w:tcPr>
            <w:tcW w:w="1796" w:type="dxa"/>
            <w:noWrap w:val="0"/>
            <w:tcMar>
              <w:left w:w="0" w:type="dxa"/>
              <w:right w:w="0" w:type="dxa"/>
            </w:tcMar>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污水处理污泥</w:t>
            </w:r>
          </w:p>
        </w:tc>
        <w:tc>
          <w:tcPr>
            <w:tcW w:w="2888" w:type="dxa"/>
            <w:noWrap w:val="0"/>
            <w:tcMar>
              <w:left w:w="0" w:type="dxa"/>
              <w:right w:w="0" w:type="dxa"/>
            </w:tcMar>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粪大肠菌群数、蛔虫卵死亡率</w:t>
            </w:r>
          </w:p>
        </w:tc>
        <w:tc>
          <w:tcPr>
            <w:tcW w:w="1185" w:type="dxa"/>
            <w:noWrap w:val="0"/>
            <w:tcMar>
              <w:left w:w="0" w:type="dxa"/>
              <w:right w:w="0" w:type="dxa"/>
            </w:tcMar>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清掏前</w:t>
            </w:r>
          </w:p>
        </w:tc>
        <w:tc>
          <w:tcPr>
            <w:tcW w:w="1526" w:type="dxa"/>
            <w:noWrap w:val="0"/>
            <w:tcMar>
              <w:left w:w="0" w:type="dxa"/>
              <w:right w:w="0" w:type="dxa"/>
            </w:tcMar>
            <w:vAlign w:val="center"/>
          </w:tcPr>
          <w:p>
            <w:pPr>
              <w:jc w:val="center"/>
              <w:rPr>
                <w:rFonts w:hint="default" w:ascii="Times New Roman" w:hAnsi="Times New Roman" w:cs="Times New Roman"/>
                <w:color w:val="000000"/>
                <w:szCs w:val="21"/>
                <w:highlight w:val="yellow"/>
              </w:rPr>
            </w:pPr>
            <w:r>
              <w:rPr>
                <w:rFonts w:hint="default" w:ascii="Times New Roman" w:hAnsi="Times New Roman" w:cs="Times New Roman"/>
                <w:color w:val="000000"/>
                <w:szCs w:val="21"/>
              </w:rPr>
              <w:t>《排污许可证申请与核发技术规范 工业固体废物和危险废物治理》（HJ1033-2019）</w:t>
            </w:r>
          </w:p>
        </w:tc>
      </w:tr>
    </w:tbl>
    <w:p>
      <w:pPr>
        <w:pStyle w:val="5"/>
        <w:spacing w:before="0" w:after="0" w:line="360" w:lineRule="auto"/>
        <w:rPr>
          <w:rFonts w:hint="default" w:ascii="Times New Roman" w:hAnsi="Times New Roman" w:eastAsia="宋体" w:cs="Times New Roman"/>
          <w:sz w:val="30"/>
          <w:szCs w:val="30"/>
        </w:rPr>
      </w:pPr>
      <w:bookmarkStart w:id="263" w:name="_Toc4862"/>
      <w:bookmarkStart w:id="264" w:name="_Toc12299"/>
      <w:r>
        <w:rPr>
          <w:rFonts w:hint="default" w:ascii="Times New Roman" w:hAnsi="Times New Roman" w:eastAsia="宋体" w:cs="Times New Roman"/>
          <w:color w:val="000000"/>
          <w:sz w:val="30"/>
          <w:szCs w:val="30"/>
        </w:rPr>
        <w:t>8.3排污口规范化管理</w:t>
      </w:r>
      <w:bookmarkEnd w:id="263"/>
      <w:bookmarkEnd w:id="264"/>
    </w:p>
    <w:p>
      <w:pPr>
        <w:pStyle w:val="6"/>
        <w:spacing w:before="0" w:after="0" w:line="360" w:lineRule="auto"/>
        <w:rPr>
          <w:rFonts w:hint="default" w:ascii="Times New Roman" w:hAnsi="Times New Roman" w:cs="Times New Roman"/>
          <w:kern w:val="0"/>
          <w:sz w:val="28"/>
        </w:rPr>
      </w:pPr>
      <w:bookmarkStart w:id="265" w:name="_Toc16659"/>
      <w:bookmarkStart w:id="266" w:name="_Toc17417"/>
      <w:r>
        <w:rPr>
          <w:rFonts w:hint="default" w:ascii="Times New Roman" w:hAnsi="Times New Roman" w:cs="Times New Roman"/>
          <w:kern w:val="0"/>
          <w:sz w:val="28"/>
        </w:rPr>
        <w:t>8.3.1管理原则</w:t>
      </w:r>
      <w:bookmarkEnd w:id="265"/>
      <w:bookmarkEnd w:id="266"/>
    </w:p>
    <w:p>
      <w:pPr>
        <w:widowControl/>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（1）向环境排放污染物的排污口必须规范化。</w:t>
      </w:r>
    </w:p>
    <w:p>
      <w:pPr>
        <w:widowControl/>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（2）根据该项目工程的特点，以及列入总量控制指标的排污口为管理重点。</w:t>
      </w:r>
    </w:p>
    <w:p>
      <w:pPr>
        <w:pStyle w:val="2"/>
        <w:spacing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color w:val="000000"/>
          <w:sz w:val="24"/>
          <w:szCs w:val="24"/>
        </w:rPr>
        <w:t>（3）排污口应便于采样与计量监测，便于日常现场监督检查。</w:t>
      </w:r>
    </w:p>
    <w:p>
      <w:pPr>
        <w:pStyle w:val="6"/>
        <w:spacing w:before="0" w:after="0" w:line="360" w:lineRule="auto"/>
        <w:rPr>
          <w:rFonts w:hint="default" w:ascii="Times New Roman" w:hAnsi="Times New Roman" w:cs="Times New Roman"/>
          <w:kern w:val="0"/>
          <w:sz w:val="28"/>
        </w:rPr>
      </w:pPr>
      <w:bookmarkStart w:id="267" w:name="_Toc16936"/>
      <w:bookmarkStart w:id="268" w:name="_Toc12233"/>
      <w:r>
        <w:rPr>
          <w:rFonts w:hint="default" w:ascii="Times New Roman" w:hAnsi="Times New Roman" w:cs="Times New Roman"/>
          <w:kern w:val="0"/>
          <w:sz w:val="28"/>
        </w:rPr>
        <w:t>8.3.2技术要求</w:t>
      </w:r>
      <w:bookmarkEnd w:id="267"/>
      <w:bookmarkEnd w:id="268"/>
    </w:p>
    <w:p>
      <w:pPr>
        <w:widowControl/>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（1）排污口的位置必须合理确定，按环监〔1996〕470号文件要求进行规范化管理。</w:t>
      </w:r>
    </w:p>
    <w:p>
      <w:pPr>
        <w:widowControl/>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（2）采样点设置按《污染源监测技术规范》要求，设置在企业污染物总排口处。</w:t>
      </w:r>
    </w:p>
    <w:p>
      <w:pPr>
        <w:pStyle w:val="2"/>
        <w:spacing w:line="360" w:lineRule="auto"/>
        <w:ind w:left="0" w:leftChars="0" w:firstLine="480" w:firstLineChars="200"/>
        <w:rPr>
          <w:sz w:val="24"/>
        </w:rPr>
      </w:pPr>
      <w:r>
        <w:rPr>
          <w:rFonts w:hint="default" w:ascii="Times New Roman" w:hAnsi="Times New Roman" w:cs="Times New Roman"/>
          <w:color w:val="000000"/>
          <w:sz w:val="24"/>
          <w:szCs w:val="24"/>
        </w:rPr>
        <w:t>（3）废气排放口要按国家有关规定，规范整治排气筒数量、高度，同时按《污染源监测技术规范》要求对现场监测条件规范，搭设监测平台，除尘器前、后预留监测孔，便于环境管理及监测部门的日常监督、检查和监测。</w:t>
      </w:r>
    </w:p>
    <w:p>
      <w:pPr>
        <w:pStyle w:val="6"/>
        <w:spacing w:before="0" w:after="0" w:line="360" w:lineRule="auto"/>
        <w:rPr>
          <w:rFonts w:hint="default" w:ascii="Times New Roman" w:hAnsi="Times New Roman" w:cs="Times New Roman"/>
          <w:kern w:val="0"/>
          <w:sz w:val="28"/>
        </w:rPr>
      </w:pPr>
      <w:bookmarkStart w:id="269" w:name="_Toc8957"/>
      <w:bookmarkStart w:id="270" w:name="_Toc31246"/>
      <w:r>
        <w:rPr>
          <w:rFonts w:hint="default" w:ascii="Times New Roman" w:hAnsi="Times New Roman" w:cs="Times New Roman"/>
          <w:kern w:val="0"/>
          <w:sz w:val="28"/>
        </w:rPr>
        <w:t>8.3.3排污口标识管理</w:t>
      </w:r>
      <w:bookmarkEnd w:id="269"/>
      <w:bookmarkEnd w:id="270"/>
    </w:p>
    <w:p>
      <w:pPr>
        <w:widowControl/>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（1）要求使用国家环保局统一印刷的《中华人民共和国规范化排污口标志登记证》，并按要求填写有关内容。</w:t>
      </w:r>
    </w:p>
    <w:p>
      <w:pPr>
        <w:widowControl/>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color w:val="000000"/>
          <w:sz w:val="24"/>
          <w:szCs w:val="24"/>
        </w:rPr>
        <w:t>（2）根据排污口管理档案内容要求，项目建成后，应将主要污染物种类、数量、浓度、排放去向、达标情况及设施运行情况记录于档案</w:t>
      </w:r>
      <w:r>
        <w:rPr>
          <w:rFonts w:hint="default" w:ascii="Times New Roman" w:hAnsi="Times New Roman" w:cs="Times New Roman"/>
          <w:sz w:val="24"/>
          <w:szCs w:val="24"/>
        </w:rPr>
        <w:t>。</w:t>
      </w:r>
    </w:p>
    <w:p>
      <w:pPr>
        <w:jc w:val="center"/>
        <w:rPr>
          <w:rFonts w:hint="default" w:ascii="Times New Roman" w:hAnsi="Times New Roman" w:cs="Times New Roman"/>
          <w:sz w:val="24"/>
          <w:szCs w:val="24"/>
        </w:rPr>
      </w:pPr>
      <w:r>
        <w:rPr>
          <w:rFonts w:hint="default" w:ascii="Times New Roman" w:hAnsi="Times New Roman" w:cs="Times New Roman"/>
          <w:b/>
          <w:bCs/>
          <w:color w:val="000000"/>
          <w:sz w:val="24"/>
          <w:szCs w:val="24"/>
        </w:rPr>
        <w:drawing>
          <wp:inline distT="0" distB="0" distL="114300" distR="114300">
            <wp:extent cx="4724400" cy="2524125"/>
            <wp:effectExtent l="0" t="0" r="0" b="9525"/>
            <wp:docPr id="38" name="图片 21" descr="C:\Users\Chang Huan\Documents\Tencent Files\95111486\Image\C2C\1}X{_WT4E~T%EZ9(F52T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descr="C:\Users\Chang Huan\Documents\Tencent Files\95111486\Image\C2C\1}X{_WT4E~T%EZ9(F52T7@I.jpg"/>
                    <pic:cNvPicPr>
                      <a:picLocks noChangeAspect="1"/>
                    </pic:cNvPicPr>
                  </pic:nvPicPr>
                  <pic:blipFill>
                    <a:blip r:embed="rId23"/>
                    <a:stretch>
                      <a:fillRect/>
                    </a:stretch>
                  </pic:blipFill>
                  <pic:spPr>
                    <a:xfrm>
                      <a:off x="0" y="0"/>
                      <a:ext cx="4724400" cy="2524125"/>
                    </a:xfrm>
                    <a:prstGeom prst="rect">
                      <a:avLst/>
                    </a:prstGeom>
                    <a:noFill/>
                    <a:ln>
                      <a:noFill/>
                    </a:ln>
                  </pic:spPr>
                </pic:pic>
              </a:graphicData>
            </a:graphic>
          </wp:inline>
        </w:drawing>
      </w:r>
    </w:p>
    <w:p>
      <w:pPr>
        <w:pStyle w:val="2"/>
        <w:spacing w:line="360" w:lineRule="auto"/>
        <w:ind w:left="0" w:leftChars="0" w:firstLine="0" w:firstLineChars="0"/>
        <w:jc w:val="center"/>
        <w:rPr>
          <w:sz w:val="24"/>
        </w:rPr>
      </w:pPr>
      <w:r>
        <w:rPr>
          <w:rFonts w:hint="default" w:ascii="Times New Roman" w:hAnsi="Times New Roman" w:cs="Times New Roman"/>
          <w:b/>
          <w:sz w:val="21"/>
          <w:szCs w:val="21"/>
        </w:rPr>
        <w:t>图8.3-1    排放口图形标志</w:t>
      </w:r>
    </w:p>
    <w:p>
      <w:pPr>
        <w:pStyle w:val="6"/>
        <w:spacing w:before="0" w:after="0" w:line="360" w:lineRule="auto"/>
        <w:rPr>
          <w:rFonts w:hint="default" w:ascii="Times New Roman" w:hAnsi="Times New Roman" w:cs="Times New Roman"/>
          <w:kern w:val="0"/>
          <w:sz w:val="28"/>
        </w:rPr>
      </w:pPr>
      <w:bookmarkStart w:id="271" w:name="_Toc24144"/>
      <w:bookmarkStart w:id="272" w:name="_Toc470626159"/>
      <w:bookmarkStart w:id="273" w:name="_Toc308707782"/>
      <w:bookmarkStart w:id="274" w:name="_Toc398101353"/>
      <w:bookmarkStart w:id="275" w:name="_Toc386096584"/>
      <w:bookmarkStart w:id="276" w:name="_Toc9381"/>
      <w:r>
        <w:rPr>
          <w:rFonts w:hint="default" w:ascii="Times New Roman" w:hAnsi="Times New Roman" w:cs="Times New Roman"/>
          <w:kern w:val="0"/>
          <w:sz w:val="28"/>
        </w:rPr>
        <w:t>8.3.4排污口建档管理</w:t>
      </w:r>
      <w:bookmarkEnd w:id="271"/>
      <w:bookmarkEnd w:id="272"/>
      <w:bookmarkEnd w:id="273"/>
      <w:bookmarkEnd w:id="274"/>
      <w:bookmarkEnd w:id="275"/>
      <w:bookmarkEnd w:id="276"/>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1、要求使用国家环保局统一印刷的《中华人民共和国规范化排污口标志登记证》，并按要求填写有关内容；</w:t>
      </w:r>
    </w:p>
    <w:p>
      <w:pPr>
        <w:pStyle w:val="2"/>
        <w:spacing w:line="360" w:lineRule="auto"/>
        <w:ind w:left="0" w:leftChars="0" w:firstLine="480" w:firstLineChars="200"/>
        <w:rPr>
          <w:sz w:val="24"/>
        </w:rPr>
      </w:pPr>
      <w:r>
        <w:rPr>
          <w:rFonts w:hint="default" w:ascii="Times New Roman" w:hAnsi="Times New Roman" w:cs="Times New Roman"/>
          <w:sz w:val="24"/>
        </w:rPr>
        <w:t>2、根据排污口管理档案内容要求，项目建成后，应将主要污染物种类、数量、浓度、排放去向、达标情况及设施运行情况纪录于档案。</w:t>
      </w:r>
    </w:p>
    <w:p>
      <w:pPr>
        <w:pStyle w:val="5"/>
        <w:spacing w:before="0" w:after="0" w:line="360" w:lineRule="auto"/>
        <w:rPr>
          <w:rFonts w:hint="default" w:ascii="Times New Roman" w:hAnsi="Times New Roman" w:eastAsia="宋体" w:cs="Times New Roman"/>
          <w:sz w:val="30"/>
          <w:szCs w:val="30"/>
        </w:rPr>
      </w:pPr>
      <w:bookmarkStart w:id="277" w:name="_Toc179"/>
      <w:bookmarkStart w:id="278" w:name="_Toc526755046"/>
      <w:bookmarkStart w:id="279" w:name="_Toc502928287"/>
      <w:bookmarkStart w:id="280" w:name="_Toc27281"/>
      <w:bookmarkStart w:id="281" w:name="_Toc13025"/>
      <w:r>
        <w:rPr>
          <w:rFonts w:hint="default" w:ascii="Times New Roman" w:hAnsi="Times New Roman" w:eastAsia="宋体" w:cs="Times New Roman"/>
          <w:sz w:val="30"/>
          <w:szCs w:val="30"/>
        </w:rPr>
        <w:t>8.4污染物排放清单</w:t>
      </w:r>
      <w:bookmarkEnd w:id="277"/>
      <w:bookmarkEnd w:id="278"/>
      <w:bookmarkEnd w:id="279"/>
      <w:bookmarkEnd w:id="280"/>
      <w:bookmarkEnd w:id="281"/>
    </w:p>
    <w:p>
      <w:pPr>
        <w:spacing w:line="360" w:lineRule="auto"/>
        <w:ind w:firstLine="470" w:firstLineChars="196"/>
        <w:rPr>
          <w:rFonts w:hint="eastAsia"/>
          <w:bCs/>
          <w:sz w:val="24"/>
        </w:rPr>
      </w:pPr>
      <w:r>
        <w:rPr>
          <w:rFonts w:hint="default" w:ascii="Times New Roman" w:hAnsi="Times New Roman" w:cs="Times New Roman"/>
          <w:bCs/>
          <w:sz w:val="24"/>
        </w:rPr>
        <w:t>本项目污染物排放清单见表8.4-1。</w:t>
      </w:r>
    </w:p>
    <w:p>
      <w:pPr>
        <w:pStyle w:val="2"/>
        <w:spacing w:line="360" w:lineRule="auto"/>
        <w:rPr>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
        <w:ind w:left="0" w:lef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b/>
          <w:bCs/>
          <w:sz w:val="21"/>
          <w:szCs w:val="21"/>
        </w:rPr>
        <w:t>表2.3-1</w:t>
      </w:r>
      <w:r>
        <w:rPr>
          <w:rFonts w:hint="default" w:ascii="Times New Roman" w:hAnsi="Times New Roman" w:cs="Times New Roman"/>
          <w:b/>
          <w:bCs/>
          <w:sz w:val="21"/>
          <w:szCs w:val="21"/>
          <w:lang w:val="en-US" w:eastAsia="zh-CN"/>
        </w:rPr>
        <w:t>2</w:t>
      </w:r>
      <w:r>
        <w:rPr>
          <w:rFonts w:hint="default" w:ascii="Times New Roman" w:hAnsi="Times New Roman" w:cs="Times New Roman"/>
          <w:b/>
          <w:bCs/>
          <w:sz w:val="21"/>
          <w:szCs w:val="21"/>
        </w:rPr>
        <w:t xml:space="preserve">      </w:t>
      </w:r>
      <w:r>
        <w:rPr>
          <w:rFonts w:hint="default" w:ascii="Times New Roman" w:hAnsi="Times New Roman" w:cs="Times New Roman"/>
          <w:b/>
          <w:bCs/>
          <w:color w:val="000000"/>
          <w:sz w:val="21"/>
          <w:szCs w:val="21"/>
        </w:rPr>
        <w:t>项目运营期污染物排放清单</w:t>
      </w:r>
    </w:p>
    <w:tbl>
      <w:tblPr>
        <w:tblStyle w:val="20"/>
        <w:tblW w:w="540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9"/>
        <w:gridCol w:w="579"/>
        <w:gridCol w:w="556"/>
        <w:gridCol w:w="789"/>
        <w:gridCol w:w="774"/>
        <w:gridCol w:w="695"/>
        <w:gridCol w:w="947"/>
        <w:gridCol w:w="757"/>
        <w:gridCol w:w="967"/>
        <w:gridCol w:w="2330"/>
        <w:gridCol w:w="919"/>
        <w:gridCol w:w="902"/>
        <w:gridCol w:w="952"/>
        <w:gridCol w:w="835"/>
        <w:gridCol w:w="550"/>
        <w:gridCol w:w="570"/>
        <w:gridCol w:w="575"/>
        <w:gridCol w:w="11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153"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rPr>
              <w:t>类别</w:t>
            </w:r>
          </w:p>
        </w:tc>
        <w:tc>
          <w:tcPr>
            <w:tcW w:w="189"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污染源</w:t>
            </w:r>
          </w:p>
        </w:tc>
        <w:tc>
          <w:tcPr>
            <w:tcW w:w="181"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排放形式</w:t>
            </w:r>
          </w:p>
        </w:tc>
        <w:tc>
          <w:tcPr>
            <w:tcW w:w="257"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污染物</w:t>
            </w:r>
          </w:p>
        </w:tc>
        <w:tc>
          <w:tcPr>
            <w:tcW w:w="252"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年排放小时数h</w:t>
            </w:r>
          </w:p>
        </w:tc>
        <w:tc>
          <w:tcPr>
            <w:tcW w:w="226"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风机风量m</w:t>
            </w:r>
            <w:r>
              <w:rPr>
                <w:rFonts w:hint="default" w:ascii="Times New Roman" w:hAnsi="Times New Roman" w:cs="Times New Roman"/>
                <w:color w:val="000000"/>
                <w:vertAlign w:val="superscript"/>
              </w:rPr>
              <w:t>3</w:t>
            </w:r>
            <w:r>
              <w:rPr>
                <w:rFonts w:hint="default" w:ascii="Times New Roman" w:hAnsi="Times New Roman" w:cs="Times New Roman"/>
                <w:color w:val="000000"/>
              </w:rPr>
              <w:t>/h</w:t>
            </w:r>
          </w:p>
        </w:tc>
        <w:tc>
          <w:tcPr>
            <w:tcW w:w="309"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产生浓度</w:t>
            </w:r>
          </w:p>
          <w:p>
            <w:pPr>
              <w:pStyle w:val="27"/>
              <w:rPr>
                <w:rFonts w:hint="default" w:ascii="Times New Roman" w:hAnsi="Times New Roman" w:cs="Times New Roman"/>
                <w:color w:val="000000"/>
              </w:rPr>
            </w:pPr>
            <w:r>
              <w:rPr>
                <w:rFonts w:hint="default" w:ascii="Times New Roman" w:hAnsi="Times New Roman" w:cs="Times New Roman"/>
                <w:color w:val="000000"/>
              </w:rPr>
              <w:t>（气：mg/m</w:t>
            </w:r>
            <w:r>
              <w:rPr>
                <w:rFonts w:hint="default" w:ascii="Times New Roman" w:hAnsi="Times New Roman" w:cs="Times New Roman"/>
                <w:color w:val="000000"/>
                <w:vertAlign w:val="superscript"/>
              </w:rPr>
              <w:t>3</w:t>
            </w:r>
            <w:r>
              <w:rPr>
                <w:rFonts w:hint="default" w:ascii="Times New Roman" w:hAnsi="Times New Roman" w:cs="Times New Roman"/>
                <w:color w:val="000000"/>
              </w:rPr>
              <w:t>水:mg/L）</w:t>
            </w:r>
          </w:p>
        </w:tc>
        <w:tc>
          <w:tcPr>
            <w:tcW w:w="247"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产生速率kg/h</w:t>
            </w:r>
          </w:p>
        </w:tc>
        <w:tc>
          <w:tcPr>
            <w:tcW w:w="315"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产生量t/a</w:t>
            </w:r>
          </w:p>
        </w:tc>
        <w:tc>
          <w:tcPr>
            <w:tcW w:w="760"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治理措施</w:t>
            </w:r>
          </w:p>
        </w:tc>
        <w:tc>
          <w:tcPr>
            <w:tcW w:w="300"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排放浓度（气：mg/m</w:t>
            </w:r>
            <w:r>
              <w:rPr>
                <w:rFonts w:hint="default" w:ascii="Times New Roman" w:hAnsi="Times New Roman" w:cs="Times New Roman"/>
                <w:color w:val="000000"/>
                <w:vertAlign w:val="superscript"/>
              </w:rPr>
              <w:t>3</w:t>
            </w:r>
            <w:r>
              <w:rPr>
                <w:rFonts w:hint="default" w:ascii="Times New Roman" w:hAnsi="Times New Roman" w:cs="Times New Roman"/>
                <w:color w:val="000000"/>
              </w:rPr>
              <w:t>水:mg/L）</w:t>
            </w:r>
          </w:p>
        </w:tc>
        <w:tc>
          <w:tcPr>
            <w:tcW w:w="294"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排放速率kg/h</w:t>
            </w:r>
          </w:p>
        </w:tc>
        <w:tc>
          <w:tcPr>
            <w:tcW w:w="310"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排放量t/a</w:t>
            </w:r>
          </w:p>
        </w:tc>
        <w:tc>
          <w:tcPr>
            <w:tcW w:w="272"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H/D/T</w:t>
            </w:r>
          </w:p>
        </w:tc>
        <w:tc>
          <w:tcPr>
            <w:tcW w:w="179"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排放规律</w:t>
            </w:r>
          </w:p>
        </w:tc>
        <w:tc>
          <w:tcPr>
            <w:tcW w:w="373" w:type="pct"/>
            <w:gridSpan w:val="2"/>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标准</w:t>
            </w:r>
          </w:p>
        </w:tc>
        <w:tc>
          <w:tcPr>
            <w:tcW w:w="373" w:type="pct"/>
            <w:vMerge w:val="restart"/>
            <w:noWrap/>
            <w:tcMar>
              <w:top w:w="0" w:type="dxa"/>
              <w:left w:w="108" w:type="dxa"/>
              <w:bottom w:w="0" w:type="dxa"/>
              <w:right w:w="108" w:type="dxa"/>
            </w:tcMar>
            <w:vAlign w:val="center"/>
          </w:tcPr>
          <w:p>
            <w:pPr>
              <w:pStyle w:val="27"/>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8" w:hRule="atLeast"/>
          <w:tblHeader/>
        </w:trPr>
        <w:tc>
          <w:tcPr>
            <w:tcW w:w="153"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auto"/>
              </w:rPr>
            </w:pPr>
          </w:p>
        </w:tc>
        <w:tc>
          <w:tcPr>
            <w:tcW w:w="18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1"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57"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52"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26"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0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47"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15"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760"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00"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94"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10"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72"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7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6" w:type="pct"/>
            <w:vMerge w:val="restar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排放浓度mg/m</w:t>
            </w:r>
            <w:r>
              <w:rPr>
                <w:rFonts w:hint="default" w:ascii="Times New Roman" w:hAnsi="Times New Roman" w:cs="Times New Roman"/>
                <w:color w:val="000000"/>
                <w:vertAlign w:val="superscript"/>
              </w:rPr>
              <w:t>3</w:t>
            </w:r>
          </w:p>
        </w:tc>
        <w:tc>
          <w:tcPr>
            <w:tcW w:w="187" w:type="pct"/>
            <w:vMerge w:val="restar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排放速率kg/h</w:t>
            </w:r>
          </w:p>
        </w:tc>
        <w:tc>
          <w:tcPr>
            <w:tcW w:w="373"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153"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auto"/>
              </w:rPr>
            </w:pPr>
          </w:p>
        </w:tc>
        <w:tc>
          <w:tcPr>
            <w:tcW w:w="18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1"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57"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52"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26"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0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47"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15"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760"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00"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94"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10"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72"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(m/m/℃)</w:t>
            </w:r>
          </w:p>
        </w:tc>
        <w:tc>
          <w:tcPr>
            <w:tcW w:w="17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6"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7"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73"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153"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rPr>
              <w:t>废气</w:t>
            </w:r>
          </w:p>
        </w:tc>
        <w:tc>
          <w:tcPr>
            <w:tcW w:w="189"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kern w:val="0"/>
                <w:szCs w:val="21"/>
              </w:rPr>
              <w:t>医废处理车间有组织废气</w:t>
            </w:r>
          </w:p>
        </w:tc>
        <w:tc>
          <w:tcPr>
            <w:tcW w:w="181"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有组织</w:t>
            </w:r>
          </w:p>
        </w:tc>
        <w:tc>
          <w:tcPr>
            <w:tcW w:w="257"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颗粒物</w:t>
            </w:r>
          </w:p>
        </w:tc>
        <w:tc>
          <w:tcPr>
            <w:tcW w:w="252" w:type="pct"/>
            <w:tcBorders>
              <w:bottom w:val="single" w:color="000000" w:sz="4" w:space="0"/>
            </w:tcBorders>
            <w:noWrap/>
            <w:tcMar>
              <w:top w:w="0" w:type="dxa"/>
              <w:left w:w="108" w:type="dxa"/>
              <w:bottom w:w="0" w:type="dxa"/>
              <w:right w:w="108" w:type="dxa"/>
            </w:tcMar>
            <w:vAlign w:val="center"/>
          </w:tcPr>
          <w:p>
            <w:pPr>
              <w:pStyle w:val="27"/>
              <w:jc w:val="both"/>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5760</w:t>
            </w:r>
          </w:p>
        </w:tc>
        <w:tc>
          <w:tcPr>
            <w:tcW w:w="226" w:type="pct"/>
            <w:vMerge w:val="restar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1</w:t>
            </w:r>
            <w:r>
              <w:rPr>
                <w:rFonts w:hint="default" w:ascii="Times New Roman" w:hAnsi="Times New Roman" w:cs="Times New Roman"/>
                <w:color w:val="000000"/>
                <w:lang w:val="en-US" w:eastAsia="zh-CN"/>
              </w:rPr>
              <w:t>5</w:t>
            </w:r>
            <w:r>
              <w:rPr>
                <w:rFonts w:hint="default" w:ascii="Times New Roman" w:hAnsi="Times New Roman" w:cs="Times New Roman"/>
                <w:color w:val="000000"/>
              </w:rPr>
              <w:t>000</w:t>
            </w:r>
          </w:p>
        </w:tc>
        <w:tc>
          <w:tcPr>
            <w:tcW w:w="309" w:type="pct"/>
            <w:noWrap/>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lang w:val="en-US" w:eastAsia="zh-CN"/>
              </w:rPr>
              <w:t>180.67</w:t>
            </w:r>
          </w:p>
        </w:tc>
        <w:tc>
          <w:tcPr>
            <w:tcW w:w="247" w:type="pct"/>
            <w:noWrap/>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lang w:val="en-US" w:eastAsia="zh-CN"/>
              </w:rPr>
              <w:t>2.71</w:t>
            </w:r>
          </w:p>
        </w:tc>
        <w:tc>
          <w:tcPr>
            <w:tcW w:w="315"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szCs w:val="21"/>
                <w:lang w:val="en-US" w:eastAsia="zh-CN"/>
              </w:rPr>
              <w:t>15.62</w:t>
            </w:r>
          </w:p>
        </w:tc>
        <w:tc>
          <w:tcPr>
            <w:tcW w:w="760"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szCs w:val="21"/>
                <w:lang w:val="en-US" w:eastAsia="zh-CN"/>
              </w:rPr>
              <w:t>收集效率取98%，喷淋塔除尘效率75%，UV光催化氧化对NMHC及恶臭去除率60%，活性炭吸附效率90%，</w:t>
            </w:r>
            <w:r>
              <w:rPr>
                <w:rFonts w:hint="default" w:ascii="Times New Roman" w:hAnsi="Times New Roman" w:cs="Times New Roman"/>
                <w:color w:val="000000"/>
                <w:kern w:val="0"/>
                <w:szCs w:val="21"/>
              </w:rPr>
              <w:t>处理后</w:t>
            </w:r>
            <w:r>
              <w:rPr>
                <w:rFonts w:hint="default" w:ascii="Times New Roman" w:hAnsi="Times New Roman" w:cs="Times New Roman"/>
                <w:color w:val="000000"/>
                <w:kern w:val="0"/>
                <w:szCs w:val="21"/>
                <w:lang w:val="en-US" w:eastAsia="zh-CN"/>
              </w:rPr>
              <w:t>废气</w:t>
            </w:r>
            <w:r>
              <w:rPr>
                <w:rFonts w:hint="default" w:ascii="Times New Roman" w:hAnsi="Times New Roman" w:cs="Times New Roman"/>
                <w:color w:val="000000"/>
                <w:kern w:val="0"/>
                <w:szCs w:val="21"/>
              </w:rPr>
              <w:t>经1根15m高排气筒排放</w:t>
            </w:r>
          </w:p>
        </w:tc>
        <w:tc>
          <w:tcPr>
            <w:tcW w:w="300"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lang w:val="en-US" w:eastAsia="zh-CN"/>
              </w:rPr>
              <w:t>4.67</w:t>
            </w:r>
          </w:p>
        </w:tc>
        <w:tc>
          <w:tcPr>
            <w:tcW w:w="294"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7</w:t>
            </w:r>
          </w:p>
        </w:tc>
        <w:tc>
          <w:tcPr>
            <w:tcW w:w="310"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lang w:val="en-US" w:eastAsia="zh-CN"/>
              </w:rPr>
              <w:t>0.38</w:t>
            </w:r>
          </w:p>
        </w:tc>
        <w:tc>
          <w:tcPr>
            <w:tcW w:w="272"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P1：15/0.3/常温</w:t>
            </w:r>
          </w:p>
        </w:tc>
        <w:tc>
          <w:tcPr>
            <w:tcW w:w="179"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连续</w:t>
            </w:r>
          </w:p>
        </w:tc>
        <w:tc>
          <w:tcPr>
            <w:tcW w:w="186"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120</w:t>
            </w:r>
          </w:p>
        </w:tc>
        <w:tc>
          <w:tcPr>
            <w:tcW w:w="187"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3.5</w:t>
            </w:r>
          </w:p>
        </w:tc>
        <w:tc>
          <w:tcPr>
            <w:tcW w:w="373" w:type="pct"/>
            <w:vMerge w:val="restart"/>
            <w:noWrap/>
            <w:tcMar>
              <w:top w:w="0" w:type="dxa"/>
              <w:left w:w="108" w:type="dxa"/>
              <w:bottom w:w="0" w:type="dxa"/>
              <w:right w:w="108" w:type="dxa"/>
            </w:tcMar>
            <w:vAlign w:val="center"/>
          </w:tcPr>
          <w:p>
            <w:pPr>
              <w:jc w:val="center"/>
              <w:rPr>
                <w:color w:val="000000"/>
                <w:szCs w:val="21"/>
              </w:rPr>
            </w:pPr>
            <w:r>
              <w:rPr>
                <w:rFonts w:hint="default" w:ascii="Times New Roman" w:hAnsi="Times New Roman" w:cs="Times New Roman"/>
                <w:color w:val="000000"/>
                <w:szCs w:val="21"/>
              </w:rPr>
              <w:t>《医疗废物处理处置污染控制标准》（GB39707-2020）、《恶臭污染物排放标准》（GB14554-93）、《大气污染物综合排放标准》(GB16297－1996)</w:t>
            </w:r>
          </w:p>
          <w:p>
            <w:pPr>
              <w:pStyle w:val="27"/>
              <w:rPr>
                <w:rFonts w:hint="default" w:ascii="Times New Roman" w:hAnsi="Times New Roman" w:cs="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153"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auto"/>
              </w:rPr>
            </w:pPr>
          </w:p>
        </w:tc>
        <w:tc>
          <w:tcPr>
            <w:tcW w:w="18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kern w:val="0"/>
                <w:szCs w:val="21"/>
              </w:rPr>
            </w:pPr>
          </w:p>
        </w:tc>
        <w:tc>
          <w:tcPr>
            <w:tcW w:w="181"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57" w:type="pct"/>
            <w:tcBorders>
              <w:bottom w:val="single" w:color="000000" w:sz="4" w:space="0"/>
            </w:tcBorders>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氨</w:t>
            </w:r>
          </w:p>
        </w:tc>
        <w:tc>
          <w:tcPr>
            <w:tcW w:w="252" w:type="pct"/>
            <w:tcBorders>
              <w:top w:val="single" w:color="000000" w:sz="4" w:space="0"/>
              <w:bottom w:val="single" w:color="000000" w:sz="4" w:space="0"/>
            </w:tcBorders>
            <w:noWrap/>
            <w:tcMar>
              <w:top w:w="0" w:type="dxa"/>
              <w:left w:w="108" w:type="dxa"/>
              <w:bottom w:w="0" w:type="dxa"/>
              <w:right w:w="108" w:type="dxa"/>
            </w:tcMar>
            <w:vAlign w:val="center"/>
          </w:tcPr>
          <w:p>
            <w:pPr>
              <w:rPr>
                <w:rFonts w:hint="default" w:ascii="Times New Roman" w:hAnsi="Times New Roman" w:cs="Times New Roman"/>
                <w:color w:val="000000"/>
              </w:rPr>
            </w:pPr>
            <w:r>
              <w:rPr>
                <w:rFonts w:hint="default" w:ascii="Times New Roman" w:hAnsi="Times New Roman" w:cs="Times New Roman"/>
                <w:color w:val="000000"/>
                <w:lang w:val="en-US" w:eastAsia="zh-CN"/>
              </w:rPr>
              <w:t>5760</w:t>
            </w:r>
          </w:p>
        </w:tc>
        <w:tc>
          <w:tcPr>
            <w:tcW w:w="226"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09" w:type="pct"/>
            <w:noWrap/>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lang w:val="en-US" w:eastAsia="zh-CN"/>
              </w:rPr>
              <w:t>2.4</w:t>
            </w:r>
          </w:p>
        </w:tc>
        <w:tc>
          <w:tcPr>
            <w:tcW w:w="247" w:type="pct"/>
            <w:noWrap/>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36</w:t>
            </w:r>
          </w:p>
        </w:tc>
        <w:tc>
          <w:tcPr>
            <w:tcW w:w="315"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w:t>
            </w:r>
            <w:r>
              <w:rPr>
                <w:rFonts w:hint="default" w:ascii="Times New Roman" w:hAnsi="Times New Roman" w:cs="Times New Roman"/>
                <w:color w:val="000000"/>
                <w:szCs w:val="21"/>
                <w:lang w:val="en-US" w:eastAsia="zh-CN"/>
              </w:rPr>
              <w:t>205</w:t>
            </w:r>
          </w:p>
        </w:tc>
        <w:tc>
          <w:tcPr>
            <w:tcW w:w="760"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00"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w:t>
            </w:r>
            <w:r>
              <w:rPr>
                <w:rFonts w:hint="default" w:ascii="Times New Roman" w:hAnsi="Times New Roman" w:cs="Times New Roman"/>
                <w:color w:val="000000"/>
                <w:szCs w:val="21"/>
                <w:lang w:val="en-US" w:eastAsia="zh-CN"/>
              </w:rPr>
              <w:t>1</w:t>
            </w:r>
          </w:p>
        </w:tc>
        <w:tc>
          <w:tcPr>
            <w:tcW w:w="294"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0.00</w:t>
            </w:r>
            <w:r>
              <w:rPr>
                <w:rFonts w:hint="default" w:ascii="Times New Roman" w:hAnsi="Times New Roman" w:cs="Times New Roman"/>
                <w:color w:val="000000"/>
                <w:szCs w:val="21"/>
                <w:lang w:val="en-US" w:eastAsia="zh-CN"/>
              </w:rPr>
              <w:t>14</w:t>
            </w:r>
          </w:p>
        </w:tc>
        <w:tc>
          <w:tcPr>
            <w:tcW w:w="310"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0.00</w:t>
            </w:r>
            <w:r>
              <w:rPr>
                <w:rFonts w:hint="default" w:ascii="Times New Roman" w:hAnsi="Times New Roman" w:cs="Times New Roman"/>
                <w:color w:val="000000"/>
                <w:szCs w:val="21"/>
                <w:lang w:val="en-US" w:eastAsia="zh-CN"/>
              </w:rPr>
              <w:t>8</w:t>
            </w:r>
          </w:p>
        </w:tc>
        <w:tc>
          <w:tcPr>
            <w:tcW w:w="272"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7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6"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187"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4.9</w:t>
            </w:r>
          </w:p>
        </w:tc>
        <w:tc>
          <w:tcPr>
            <w:tcW w:w="373"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auto"/>
              </w:rPr>
            </w:pPr>
          </w:p>
        </w:tc>
        <w:tc>
          <w:tcPr>
            <w:tcW w:w="18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1"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57" w:type="pct"/>
            <w:tcBorders>
              <w:top w:val="single" w:color="000000" w:sz="4" w:space="0"/>
            </w:tcBorders>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硫化氢</w:t>
            </w:r>
          </w:p>
        </w:tc>
        <w:tc>
          <w:tcPr>
            <w:tcW w:w="252" w:type="pct"/>
            <w:tcBorders>
              <w:top w:val="single" w:color="000000" w:sz="4" w:space="0"/>
            </w:tcBorders>
            <w:noWrap/>
            <w:tcMar>
              <w:top w:w="0" w:type="dxa"/>
              <w:left w:w="108" w:type="dxa"/>
              <w:bottom w:w="0" w:type="dxa"/>
              <w:right w:w="108" w:type="dxa"/>
            </w:tcMar>
            <w:vAlign w:val="center"/>
          </w:tcPr>
          <w:p>
            <w:pPr>
              <w:rPr>
                <w:rFonts w:hint="default" w:ascii="Times New Roman" w:hAnsi="Times New Roman" w:cs="Times New Roman"/>
                <w:color w:val="000000"/>
              </w:rPr>
            </w:pPr>
            <w:r>
              <w:rPr>
                <w:rFonts w:hint="default" w:ascii="Times New Roman" w:hAnsi="Times New Roman" w:cs="Times New Roman"/>
                <w:color w:val="000000"/>
                <w:lang w:val="en-US" w:eastAsia="zh-CN"/>
              </w:rPr>
              <w:t>5760</w:t>
            </w:r>
          </w:p>
        </w:tc>
        <w:tc>
          <w:tcPr>
            <w:tcW w:w="226"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09" w:type="pct"/>
            <w:noWrap/>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lang w:val="en-US" w:eastAsia="zh-CN"/>
              </w:rPr>
              <w:t>0.67</w:t>
            </w:r>
          </w:p>
        </w:tc>
        <w:tc>
          <w:tcPr>
            <w:tcW w:w="247" w:type="pct"/>
            <w:noWrap/>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1</w:t>
            </w:r>
          </w:p>
        </w:tc>
        <w:tc>
          <w:tcPr>
            <w:tcW w:w="315"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55</w:t>
            </w:r>
          </w:p>
        </w:tc>
        <w:tc>
          <w:tcPr>
            <w:tcW w:w="760"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00"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w:t>
            </w:r>
            <w:r>
              <w:rPr>
                <w:rFonts w:hint="default" w:ascii="Times New Roman" w:hAnsi="Times New Roman" w:cs="Times New Roman"/>
                <w:color w:val="000000"/>
                <w:szCs w:val="21"/>
                <w:lang w:val="en-US" w:eastAsia="zh-CN"/>
              </w:rPr>
              <w:t>027</w:t>
            </w:r>
          </w:p>
        </w:tc>
        <w:tc>
          <w:tcPr>
            <w:tcW w:w="294"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0.0004</w:t>
            </w:r>
          </w:p>
        </w:tc>
        <w:tc>
          <w:tcPr>
            <w:tcW w:w="310"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0.002</w:t>
            </w:r>
            <w:r>
              <w:rPr>
                <w:rFonts w:hint="default" w:ascii="Times New Roman" w:hAnsi="Times New Roman" w:cs="Times New Roman"/>
                <w:color w:val="000000"/>
                <w:szCs w:val="21"/>
                <w:lang w:val="en-US" w:eastAsia="zh-CN"/>
              </w:rPr>
              <w:t>2</w:t>
            </w:r>
          </w:p>
        </w:tc>
        <w:tc>
          <w:tcPr>
            <w:tcW w:w="272"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7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6"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187"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0.33</w:t>
            </w:r>
          </w:p>
        </w:tc>
        <w:tc>
          <w:tcPr>
            <w:tcW w:w="373"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2" w:hRule="atLeast"/>
        </w:trPr>
        <w:tc>
          <w:tcPr>
            <w:tcW w:w="153"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auto"/>
              </w:rPr>
            </w:pPr>
          </w:p>
        </w:tc>
        <w:tc>
          <w:tcPr>
            <w:tcW w:w="18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1"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57"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非甲烷总烃</w:t>
            </w:r>
          </w:p>
        </w:tc>
        <w:tc>
          <w:tcPr>
            <w:tcW w:w="252" w:type="pct"/>
            <w:noWrap/>
            <w:tcMar>
              <w:top w:w="0" w:type="dxa"/>
              <w:left w:w="108" w:type="dxa"/>
              <w:bottom w:w="0" w:type="dxa"/>
              <w:right w:w="108" w:type="dxa"/>
            </w:tcMar>
            <w:vAlign w:val="center"/>
          </w:tcPr>
          <w:p>
            <w:pPr>
              <w:rPr>
                <w:rFonts w:hint="default" w:ascii="Times New Roman" w:hAnsi="Times New Roman" w:cs="Times New Roman"/>
                <w:color w:val="000000"/>
              </w:rPr>
            </w:pPr>
            <w:r>
              <w:rPr>
                <w:rFonts w:hint="default" w:ascii="Times New Roman" w:hAnsi="Times New Roman" w:cs="Times New Roman"/>
                <w:color w:val="000000"/>
                <w:lang w:val="en-US" w:eastAsia="zh-CN"/>
              </w:rPr>
              <w:t>5760</w:t>
            </w:r>
          </w:p>
        </w:tc>
        <w:tc>
          <w:tcPr>
            <w:tcW w:w="226"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09" w:type="pct"/>
            <w:noWrap/>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lang w:val="en-US" w:eastAsia="zh-CN"/>
              </w:rPr>
              <w:t>1.8</w:t>
            </w:r>
          </w:p>
        </w:tc>
        <w:tc>
          <w:tcPr>
            <w:tcW w:w="247" w:type="pct"/>
            <w:noWrap/>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27</w:t>
            </w:r>
          </w:p>
        </w:tc>
        <w:tc>
          <w:tcPr>
            <w:tcW w:w="315"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0.1</w:t>
            </w:r>
            <w:r>
              <w:rPr>
                <w:rFonts w:hint="default" w:ascii="Times New Roman" w:hAnsi="Times New Roman" w:cs="Times New Roman"/>
                <w:color w:val="000000"/>
                <w:szCs w:val="21"/>
                <w:lang w:val="en-US" w:eastAsia="zh-CN"/>
              </w:rPr>
              <w:t>55</w:t>
            </w:r>
          </w:p>
        </w:tc>
        <w:tc>
          <w:tcPr>
            <w:tcW w:w="760"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00"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lang w:val="en-US" w:eastAsia="zh-CN"/>
              </w:rPr>
              <w:t>0.067</w:t>
            </w:r>
          </w:p>
        </w:tc>
        <w:tc>
          <w:tcPr>
            <w:tcW w:w="294"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0.00</w:t>
            </w:r>
            <w:r>
              <w:rPr>
                <w:rFonts w:hint="default" w:ascii="Times New Roman" w:hAnsi="Times New Roman" w:cs="Times New Roman"/>
                <w:color w:val="000000"/>
                <w:szCs w:val="21"/>
                <w:lang w:val="en-US" w:eastAsia="zh-CN"/>
              </w:rPr>
              <w:t>1</w:t>
            </w:r>
          </w:p>
        </w:tc>
        <w:tc>
          <w:tcPr>
            <w:tcW w:w="310"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061</w:t>
            </w:r>
          </w:p>
        </w:tc>
        <w:tc>
          <w:tcPr>
            <w:tcW w:w="272"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7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6"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20</w:t>
            </w:r>
          </w:p>
        </w:tc>
        <w:tc>
          <w:tcPr>
            <w:tcW w:w="187"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73"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74" w:hRule="atLeast"/>
        </w:trPr>
        <w:tc>
          <w:tcPr>
            <w:tcW w:w="153"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auto"/>
              </w:rPr>
            </w:pPr>
          </w:p>
        </w:tc>
        <w:tc>
          <w:tcPr>
            <w:tcW w:w="18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1"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57"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臭气浓度（无量纲）</w:t>
            </w:r>
          </w:p>
        </w:tc>
        <w:tc>
          <w:tcPr>
            <w:tcW w:w="252" w:type="pct"/>
            <w:noWrap/>
            <w:tcMar>
              <w:top w:w="0" w:type="dxa"/>
              <w:left w:w="108" w:type="dxa"/>
              <w:bottom w:w="0" w:type="dxa"/>
              <w:right w:w="108" w:type="dxa"/>
            </w:tcMar>
            <w:vAlign w:val="center"/>
          </w:tcPr>
          <w:p>
            <w:pPr>
              <w:rPr>
                <w:rFonts w:hint="default" w:ascii="Times New Roman" w:hAnsi="Times New Roman" w:cs="Times New Roman"/>
                <w:color w:val="000000"/>
              </w:rPr>
            </w:pPr>
            <w:r>
              <w:rPr>
                <w:rFonts w:hint="default" w:ascii="Times New Roman" w:hAnsi="Times New Roman" w:cs="Times New Roman"/>
                <w:color w:val="000000"/>
                <w:lang w:val="en-US" w:eastAsia="zh-CN"/>
              </w:rPr>
              <w:t>5760</w:t>
            </w:r>
          </w:p>
        </w:tc>
        <w:tc>
          <w:tcPr>
            <w:tcW w:w="226"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09" w:type="pct"/>
            <w:noWrap/>
            <w:tcMar>
              <w:top w:w="0" w:type="dxa"/>
              <w:left w:w="108" w:type="dxa"/>
              <w:bottom w:w="0" w:type="dxa"/>
              <w:right w:w="108" w:type="dxa"/>
            </w:tcMar>
            <w:vAlign w:val="center"/>
          </w:tcPr>
          <w:p>
            <w:pPr>
              <w:pStyle w:val="27"/>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500</w:t>
            </w:r>
          </w:p>
        </w:tc>
        <w:tc>
          <w:tcPr>
            <w:tcW w:w="247"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15"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760"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00" w:type="pct"/>
            <w:noWrap w:val="0"/>
            <w:tcMar>
              <w:top w:w="0" w:type="dxa"/>
              <w:left w:w="108" w:type="dxa"/>
              <w:bottom w:w="0" w:type="dxa"/>
              <w:right w:w="108" w:type="dxa"/>
            </w:tcMar>
            <w:vAlign w:val="center"/>
          </w:tcPr>
          <w:p>
            <w:pPr>
              <w:pStyle w:val="27"/>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20</w:t>
            </w:r>
          </w:p>
        </w:tc>
        <w:tc>
          <w:tcPr>
            <w:tcW w:w="294"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10"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272"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7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6"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2000</w:t>
            </w:r>
          </w:p>
        </w:tc>
        <w:tc>
          <w:tcPr>
            <w:tcW w:w="187"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73"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153"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auto"/>
              </w:rPr>
            </w:pPr>
          </w:p>
        </w:tc>
        <w:tc>
          <w:tcPr>
            <w:tcW w:w="189"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kern w:val="0"/>
                <w:szCs w:val="21"/>
              </w:rPr>
              <w:t>医废处理车间无组织废气</w:t>
            </w:r>
          </w:p>
        </w:tc>
        <w:tc>
          <w:tcPr>
            <w:tcW w:w="181"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无组织</w:t>
            </w:r>
          </w:p>
        </w:tc>
        <w:tc>
          <w:tcPr>
            <w:tcW w:w="257"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氨</w:t>
            </w:r>
          </w:p>
        </w:tc>
        <w:tc>
          <w:tcPr>
            <w:tcW w:w="252" w:type="pct"/>
            <w:noWrap/>
            <w:tcMar>
              <w:top w:w="0" w:type="dxa"/>
              <w:left w:w="108" w:type="dxa"/>
              <w:bottom w:w="0" w:type="dxa"/>
              <w:right w:w="108" w:type="dxa"/>
            </w:tcMar>
            <w:vAlign w:val="center"/>
          </w:tcPr>
          <w:p>
            <w:pPr>
              <w:rPr>
                <w:rFonts w:hint="default" w:ascii="Times New Roman" w:hAnsi="Times New Roman" w:cs="Times New Roman"/>
                <w:color w:val="000000"/>
              </w:rPr>
            </w:pPr>
            <w:r>
              <w:rPr>
                <w:rFonts w:hint="default" w:ascii="Times New Roman" w:hAnsi="Times New Roman" w:cs="Times New Roman"/>
                <w:color w:val="000000"/>
                <w:lang w:val="en-US" w:eastAsia="zh-CN"/>
              </w:rPr>
              <w:t>5760</w:t>
            </w:r>
          </w:p>
        </w:tc>
        <w:tc>
          <w:tcPr>
            <w:tcW w:w="226"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09"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247" w:type="pct"/>
            <w:noWrap/>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0.00</w:t>
            </w:r>
            <w:r>
              <w:rPr>
                <w:rFonts w:hint="default" w:ascii="Times New Roman" w:hAnsi="Times New Roman" w:cs="Times New Roman"/>
                <w:color w:val="000000"/>
                <w:szCs w:val="21"/>
                <w:lang w:val="en-US" w:eastAsia="zh-CN"/>
              </w:rPr>
              <w:t>07</w:t>
            </w:r>
          </w:p>
        </w:tc>
        <w:tc>
          <w:tcPr>
            <w:tcW w:w="315"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04</w:t>
            </w:r>
          </w:p>
        </w:tc>
        <w:tc>
          <w:tcPr>
            <w:tcW w:w="760"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处理车间内微负压</w:t>
            </w:r>
            <w:r>
              <w:rPr>
                <w:rFonts w:hint="default" w:ascii="Times New Roman" w:hAnsi="Times New Roman" w:cs="Times New Roman"/>
                <w:color w:val="000000"/>
                <w:lang w:val="en-US" w:eastAsia="zh-CN"/>
              </w:rPr>
              <w:t>且各工段出、入料口均设有集气罩</w:t>
            </w:r>
            <w:r>
              <w:rPr>
                <w:rFonts w:hint="default" w:ascii="Times New Roman" w:hAnsi="Times New Roman" w:cs="Times New Roman"/>
                <w:color w:val="000000"/>
              </w:rPr>
              <w:t>，无组织排放极小</w:t>
            </w:r>
          </w:p>
        </w:tc>
        <w:tc>
          <w:tcPr>
            <w:tcW w:w="300"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294"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0.00</w:t>
            </w:r>
            <w:r>
              <w:rPr>
                <w:rFonts w:hint="default" w:ascii="Times New Roman" w:hAnsi="Times New Roman" w:cs="Times New Roman"/>
                <w:color w:val="000000"/>
                <w:szCs w:val="21"/>
                <w:lang w:val="en-US" w:eastAsia="zh-CN"/>
              </w:rPr>
              <w:t>07</w:t>
            </w:r>
          </w:p>
        </w:tc>
        <w:tc>
          <w:tcPr>
            <w:tcW w:w="310"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04</w:t>
            </w:r>
          </w:p>
        </w:tc>
        <w:tc>
          <w:tcPr>
            <w:tcW w:w="272"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179"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连续</w:t>
            </w:r>
          </w:p>
        </w:tc>
        <w:tc>
          <w:tcPr>
            <w:tcW w:w="186"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1.5</w:t>
            </w:r>
          </w:p>
        </w:tc>
        <w:tc>
          <w:tcPr>
            <w:tcW w:w="187"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73" w:type="pct"/>
            <w:vMerge w:val="restart"/>
            <w:noWrap/>
            <w:tcMar>
              <w:top w:w="0" w:type="dxa"/>
              <w:left w:w="108" w:type="dxa"/>
              <w:bottom w:w="0" w:type="dxa"/>
              <w:right w:w="108" w:type="dxa"/>
            </w:tcMar>
            <w:vAlign w:val="center"/>
          </w:tcPr>
          <w:p>
            <w:pPr>
              <w:jc w:val="center"/>
              <w:rPr>
                <w:rFonts w:hint="default" w:ascii="Times New Roman" w:hAnsi="Times New Roman" w:cs="Times New Roman"/>
                <w:szCs w:val="21"/>
              </w:rPr>
            </w:pPr>
            <w:r>
              <w:rPr>
                <w:rFonts w:hint="default" w:ascii="Times New Roman" w:hAnsi="Times New Roman" w:cs="Times New Roman"/>
                <w:szCs w:val="21"/>
              </w:rPr>
              <w:t>《恶臭污染物排放标准》（GB14554-93）、</w:t>
            </w:r>
            <w:r>
              <w:rPr>
                <w:rFonts w:hint="default" w:ascii="Times New Roman" w:hAnsi="Times New Roman" w:cs="Times New Roman"/>
                <w:color w:val="000000"/>
                <w:szCs w:val="21"/>
              </w:rPr>
              <w:t>《大气污染物综合排放标准》(GB16297-1996)、《挥发性有机物无组织排放控制标准（GB37822-2019）</w:t>
            </w:r>
          </w:p>
          <w:p>
            <w:pPr>
              <w:pStyle w:val="27"/>
              <w:rPr>
                <w:rFonts w:hint="default" w:ascii="Times New Roman" w:hAnsi="Times New Roman" w:cs="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auto"/>
              </w:rPr>
            </w:pPr>
          </w:p>
        </w:tc>
        <w:tc>
          <w:tcPr>
            <w:tcW w:w="18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1"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57"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硫化氢</w:t>
            </w:r>
          </w:p>
        </w:tc>
        <w:tc>
          <w:tcPr>
            <w:tcW w:w="252" w:type="pct"/>
            <w:noWrap/>
            <w:tcMar>
              <w:top w:w="0" w:type="dxa"/>
              <w:left w:w="108" w:type="dxa"/>
              <w:bottom w:w="0" w:type="dxa"/>
              <w:right w:w="108" w:type="dxa"/>
            </w:tcMar>
            <w:vAlign w:val="center"/>
          </w:tcPr>
          <w:p>
            <w:pPr>
              <w:rPr>
                <w:rFonts w:hint="default" w:ascii="Times New Roman" w:hAnsi="Times New Roman" w:cs="Times New Roman"/>
                <w:color w:val="000000"/>
              </w:rPr>
            </w:pPr>
            <w:r>
              <w:rPr>
                <w:rFonts w:hint="default" w:ascii="Times New Roman" w:hAnsi="Times New Roman" w:cs="Times New Roman"/>
                <w:color w:val="000000"/>
                <w:lang w:val="en-US" w:eastAsia="zh-CN"/>
              </w:rPr>
              <w:t>5760</w:t>
            </w:r>
          </w:p>
        </w:tc>
        <w:tc>
          <w:tcPr>
            <w:tcW w:w="226"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09"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247" w:type="pct"/>
            <w:noWrap/>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0.00</w:t>
            </w:r>
            <w:r>
              <w:rPr>
                <w:rFonts w:hint="default" w:ascii="Times New Roman" w:hAnsi="Times New Roman" w:cs="Times New Roman"/>
                <w:color w:val="000000"/>
                <w:szCs w:val="21"/>
                <w:lang w:val="en-US" w:eastAsia="zh-CN"/>
              </w:rPr>
              <w:t>02</w:t>
            </w:r>
          </w:p>
        </w:tc>
        <w:tc>
          <w:tcPr>
            <w:tcW w:w="315"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0.00</w:t>
            </w:r>
            <w:r>
              <w:rPr>
                <w:rFonts w:hint="default" w:ascii="Times New Roman" w:hAnsi="Times New Roman" w:cs="Times New Roman"/>
                <w:color w:val="000000"/>
                <w:szCs w:val="21"/>
                <w:lang w:val="en-US" w:eastAsia="zh-CN"/>
              </w:rPr>
              <w:t>1</w:t>
            </w:r>
          </w:p>
        </w:tc>
        <w:tc>
          <w:tcPr>
            <w:tcW w:w="760"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00"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294"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0.00</w:t>
            </w:r>
            <w:r>
              <w:rPr>
                <w:rFonts w:hint="default" w:ascii="Times New Roman" w:hAnsi="Times New Roman" w:cs="Times New Roman"/>
                <w:color w:val="000000"/>
                <w:szCs w:val="21"/>
                <w:lang w:val="en-US" w:eastAsia="zh-CN"/>
              </w:rPr>
              <w:t>02</w:t>
            </w:r>
          </w:p>
        </w:tc>
        <w:tc>
          <w:tcPr>
            <w:tcW w:w="310"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0.00</w:t>
            </w:r>
            <w:r>
              <w:rPr>
                <w:rFonts w:hint="default" w:ascii="Times New Roman" w:hAnsi="Times New Roman" w:cs="Times New Roman"/>
                <w:color w:val="000000"/>
                <w:szCs w:val="21"/>
                <w:lang w:val="en-US" w:eastAsia="zh-CN"/>
              </w:rPr>
              <w:t>1</w:t>
            </w:r>
          </w:p>
        </w:tc>
        <w:tc>
          <w:tcPr>
            <w:tcW w:w="272"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179"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连续</w:t>
            </w:r>
          </w:p>
        </w:tc>
        <w:tc>
          <w:tcPr>
            <w:tcW w:w="186"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0.06</w:t>
            </w:r>
          </w:p>
        </w:tc>
        <w:tc>
          <w:tcPr>
            <w:tcW w:w="187"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73"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auto"/>
              </w:rPr>
            </w:pPr>
          </w:p>
        </w:tc>
        <w:tc>
          <w:tcPr>
            <w:tcW w:w="18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1"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57"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颗粒物</w:t>
            </w:r>
          </w:p>
        </w:tc>
        <w:tc>
          <w:tcPr>
            <w:tcW w:w="252" w:type="pct"/>
            <w:noWrap/>
            <w:tcMar>
              <w:top w:w="0" w:type="dxa"/>
              <w:left w:w="108" w:type="dxa"/>
              <w:bottom w:w="0" w:type="dxa"/>
              <w:right w:w="108" w:type="dxa"/>
            </w:tcMar>
            <w:vAlign w:val="center"/>
          </w:tcPr>
          <w:p>
            <w:pPr>
              <w:rPr>
                <w:rFonts w:hint="default" w:ascii="Times New Roman" w:hAnsi="Times New Roman" w:cs="Times New Roman"/>
                <w:color w:val="000000"/>
              </w:rPr>
            </w:pPr>
            <w:r>
              <w:rPr>
                <w:rFonts w:hint="default" w:ascii="Times New Roman" w:hAnsi="Times New Roman" w:cs="Times New Roman"/>
                <w:color w:val="000000"/>
                <w:lang w:val="en-US" w:eastAsia="zh-CN"/>
              </w:rPr>
              <w:t>5760</w:t>
            </w:r>
          </w:p>
        </w:tc>
        <w:tc>
          <w:tcPr>
            <w:tcW w:w="226"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09"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247" w:type="pct"/>
            <w:noWrap/>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w:t>
            </w:r>
            <w:r>
              <w:rPr>
                <w:rFonts w:hint="default" w:ascii="Times New Roman" w:hAnsi="Times New Roman" w:cs="Times New Roman"/>
                <w:color w:val="000000"/>
                <w:szCs w:val="21"/>
                <w:lang w:val="en-US" w:eastAsia="zh-CN"/>
              </w:rPr>
              <w:t>05</w:t>
            </w:r>
          </w:p>
        </w:tc>
        <w:tc>
          <w:tcPr>
            <w:tcW w:w="315"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lang w:val="en-US" w:eastAsia="zh-CN"/>
              </w:rPr>
              <w:t>0.31</w:t>
            </w:r>
          </w:p>
        </w:tc>
        <w:tc>
          <w:tcPr>
            <w:tcW w:w="760"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00"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294"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w:t>
            </w:r>
            <w:r>
              <w:rPr>
                <w:rFonts w:hint="default" w:ascii="Times New Roman" w:hAnsi="Times New Roman" w:cs="Times New Roman"/>
                <w:color w:val="000000"/>
                <w:szCs w:val="21"/>
                <w:lang w:val="en-US" w:eastAsia="zh-CN"/>
              </w:rPr>
              <w:t>05</w:t>
            </w:r>
          </w:p>
        </w:tc>
        <w:tc>
          <w:tcPr>
            <w:tcW w:w="310"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lang w:val="en-US" w:eastAsia="zh-CN"/>
              </w:rPr>
              <w:t>0.31</w:t>
            </w:r>
          </w:p>
        </w:tc>
        <w:tc>
          <w:tcPr>
            <w:tcW w:w="272"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179"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连续</w:t>
            </w:r>
          </w:p>
        </w:tc>
        <w:tc>
          <w:tcPr>
            <w:tcW w:w="186"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1.0</w:t>
            </w:r>
          </w:p>
        </w:tc>
        <w:tc>
          <w:tcPr>
            <w:tcW w:w="187"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73"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auto"/>
              </w:rPr>
            </w:pPr>
          </w:p>
        </w:tc>
        <w:tc>
          <w:tcPr>
            <w:tcW w:w="18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1"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57"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非甲烷总烃</w:t>
            </w:r>
          </w:p>
        </w:tc>
        <w:tc>
          <w:tcPr>
            <w:tcW w:w="252" w:type="pct"/>
            <w:noWrap/>
            <w:tcMar>
              <w:top w:w="0" w:type="dxa"/>
              <w:left w:w="108" w:type="dxa"/>
              <w:bottom w:w="0" w:type="dxa"/>
              <w:right w:w="108" w:type="dxa"/>
            </w:tcMar>
            <w:vAlign w:val="center"/>
          </w:tcPr>
          <w:p>
            <w:pPr>
              <w:rPr>
                <w:rFonts w:hint="default" w:ascii="Times New Roman" w:hAnsi="Times New Roman" w:cs="Times New Roman"/>
                <w:color w:val="000000"/>
              </w:rPr>
            </w:pPr>
            <w:r>
              <w:rPr>
                <w:rFonts w:hint="default" w:ascii="Times New Roman" w:hAnsi="Times New Roman" w:cs="Times New Roman"/>
                <w:color w:val="000000"/>
                <w:lang w:val="en-US" w:eastAsia="zh-CN"/>
              </w:rPr>
              <w:t>5760</w:t>
            </w:r>
          </w:p>
        </w:tc>
        <w:tc>
          <w:tcPr>
            <w:tcW w:w="226"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09"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247" w:type="pct"/>
            <w:noWrap/>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0.00</w:t>
            </w:r>
            <w:r>
              <w:rPr>
                <w:rFonts w:hint="default" w:ascii="Times New Roman" w:hAnsi="Times New Roman" w:cs="Times New Roman"/>
                <w:color w:val="000000"/>
                <w:szCs w:val="21"/>
                <w:lang w:val="en-US" w:eastAsia="zh-CN"/>
              </w:rPr>
              <w:t>05</w:t>
            </w:r>
          </w:p>
        </w:tc>
        <w:tc>
          <w:tcPr>
            <w:tcW w:w="315"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03</w:t>
            </w:r>
          </w:p>
        </w:tc>
        <w:tc>
          <w:tcPr>
            <w:tcW w:w="760"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00"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294"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0.00</w:t>
            </w:r>
            <w:r>
              <w:rPr>
                <w:rFonts w:hint="default" w:ascii="Times New Roman" w:hAnsi="Times New Roman" w:cs="Times New Roman"/>
                <w:color w:val="000000"/>
                <w:szCs w:val="21"/>
                <w:lang w:val="en-US" w:eastAsia="zh-CN"/>
              </w:rPr>
              <w:t>05</w:t>
            </w:r>
          </w:p>
        </w:tc>
        <w:tc>
          <w:tcPr>
            <w:tcW w:w="310" w:type="pct"/>
            <w:noWrap w:val="0"/>
            <w:tcMar>
              <w:top w:w="0" w:type="dxa"/>
              <w:left w:w="108" w:type="dxa"/>
              <w:bottom w:w="0" w:type="dxa"/>
              <w:right w:w="108"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03</w:t>
            </w:r>
          </w:p>
        </w:tc>
        <w:tc>
          <w:tcPr>
            <w:tcW w:w="272"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179"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连续</w:t>
            </w:r>
          </w:p>
        </w:tc>
        <w:tc>
          <w:tcPr>
            <w:tcW w:w="186"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4.0</w:t>
            </w:r>
          </w:p>
        </w:tc>
        <w:tc>
          <w:tcPr>
            <w:tcW w:w="187"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73"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auto"/>
              </w:rPr>
            </w:pPr>
          </w:p>
        </w:tc>
        <w:tc>
          <w:tcPr>
            <w:tcW w:w="18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1"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57"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臭气浓度（无量纲）</w:t>
            </w:r>
          </w:p>
        </w:tc>
        <w:tc>
          <w:tcPr>
            <w:tcW w:w="252" w:type="pct"/>
            <w:noWrap/>
            <w:tcMar>
              <w:top w:w="0" w:type="dxa"/>
              <w:left w:w="108" w:type="dxa"/>
              <w:bottom w:w="0" w:type="dxa"/>
              <w:right w:w="108" w:type="dxa"/>
            </w:tcMar>
            <w:vAlign w:val="center"/>
          </w:tcPr>
          <w:p>
            <w:pPr>
              <w:rPr>
                <w:rFonts w:hint="default" w:ascii="Times New Roman" w:hAnsi="Times New Roman" w:cs="Times New Roman"/>
                <w:color w:val="000000"/>
              </w:rPr>
            </w:pPr>
            <w:r>
              <w:rPr>
                <w:rFonts w:hint="default" w:ascii="Times New Roman" w:hAnsi="Times New Roman" w:cs="Times New Roman"/>
                <w:color w:val="000000"/>
                <w:lang w:val="en-US" w:eastAsia="zh-CN"/>
              </w:rPr>
              <w:t>5760</w:t>
            </w:r>
          </w:p>
        </w:tc>
        <w:tc>
          <w:tcPr>
            <w:tcW w:w="226"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09"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247"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2</w:t>
            </w:r>
          </w:p>
        </w:tc>
        <w:tc>
          <w:tcPr>
            <w:tcW w:w="315"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760"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300"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2</w:t>
            </w:r>
          </w:p>
        </w:tc>
        <w:tc>
          <w:tcPr>
            <w:tcW w:w="294"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10"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272"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179"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连续</w:t>
            </w:r>
          </w:p>
        </w:tc>
        <w:tc>
          <w:tcPr>
            <w:tcW w:w="186"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20</w:t>
            </w:r>
          </w:p>
        </w:tc>
        <w:tc>
          <w:tcPr>
            <w:tcW w:w="187"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73"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rPr>
              <w:t>废水</w:t>
            </w:r>
          </w:p>
        </w:tc>
        <w:tc>
          <w:tcPr>
            <w:tcW w:w="189"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生产废水</w:t>
            </w:r>
          </w:p>
        </w:tc>
        <w:tc>
          <w:tcPr>
            <w:tcW w:w="181" w:type="pct"/>
            <w:vMerge w:val="restart"/>
            <w:noWrap w:val="0"/>
            <w:tcMar>
              <w:top w:w="0" w:type="dxa"/>
              <w:left w:w="108" w:type="dxa"/>
              <w:bottom w:w="0" w:type="dxa"/>
              <w:right w:w="108" w:type="dxa"/>
            </w:tcMar>
            <w:vAlign w:val="center"/>
          </w:tcPr>
          <w:p>
            <w:pPr>
              <w:pStyle w:val="27"/>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非供暖季废水全部回用，供暖季罐车拉运至污水处理厂</w:t>
            </w:r>
          </w:p>
        </w:tc>
        <w:tc>
          <w:tcPr>
            <w:tcW w:w="257" w:type="pct"/>
            <w:noWrap w:val="0"/>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rPr>
              <w:t>COD</w:t>
            </w:r>
          </w:p>
        </w:tc>
        <w:tc>
          <w:tcPr>
            <w:tcW w:w="252" w:type="pct"/>
            <w:vMerge w:val="restart"/>
            <w:noWrap/>
            <w:tcMar>
              <w:top w:w="0" w:type="dxa"/>
              <w:left w:w="108" w:type="dxa"/>
              <w:bottom w:w="0" w:type="dxa"/>
              <w:right w:w="108" w:type="dxa"/>
            </w:tcMar>
            <w:vAlign w:val="center"/>
          </w:tcPr>
          <w:p>
            <w:pPr>
              <w:pStyle w:val="2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5760</w:t>
            </w:r>
          </w:p>
        </w:tc>
        <w:tc>
          <w:tcPr>
            <w:tcW w:w="226" w:type="pct"/>
            <w:vMerge w:val="restart"/>
            <w:noWrap/>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lang w:val="en-US" w:eastAsia="zh-CN"/>
              </w:rPr>
              <w:t>1223.225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309" w:type="pct"/>
            <w:noWrap/>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445</w:t>
            </w:r>
          </w:p>
        </w:tc>
        <w:tc>
          <w:tcPr>
            <w:tcW w:w="247" w:type="pct"/>
            <w:noWrap/>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tcMar>
              <w:top w:w="0" w:type="dxa"/>
              <w:left w:w="108" w:type="dxa"/>
              <w:bottom w:w="0" w:type="dxa"/>
              <w:right w:w="108" w:type="dxa"/>
            </w:tcMar>
            <w:vAlign w:val="center"/>
          </w:tcPr>
          <w:p>
            <w:pPr>
              <w:pStyle w:val="2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0.54</w:t>
            </w:r>
          </w:p>
        </w:tc>
        <w:tc>
          <w:tcPr>
            <w:tcW w:w="760" w:type="pct"/>
            <w:vMerge w:val="restart"/>
            <w:noWrap w:val="0"/>
            <w:tcMar>
              <w:top w:w="0" w:type="dxa"/>
              <w:left w:w="108" w:type="dxa"/>
              <w:bottom w:w="0" w:type="dxa"/>
              <w:right w:w="108" w:type="dxa"/>
            </w:tcMar>
            <w:vAlign w:val="center"/>
          </w:tcPr>
          <w:p>
            <w:pPr>
              <w:pStyle w:val="27"/>
              <w:rPr>
                <w:rFonts w:hint="default" w:ascii="Times New Roman" w:hAnsi="Times New Roman" w:eastAsia="宋体" w:cs="Times New Roman"/>
                <w:color w:val="auto"/>
                <w:lang w:val="en-US" w:eastAsia="zh-CN"/>
              </w:rPr>
            </w:pPr>
            <w:r>
              <w:rPr>
                <w:rFonts w:hint="default" w:ascii="Times New Roman" w:hAnsi="Times New Roman" w:cs="Times New Roman"/>
                <w:color w:val="auto"/>
                <w:szCs w:val="21"/>
              </w:rPr>
              <w:t>消毒清洗废水、蒸汽发生器排水、电锅炉排污水、</w:t>
            </w:r>
            <w:r>
              <w:rPr>
                <w:rFonts w:hint="default" w:ascii="Times New Roman" w:hAnsi="Times New Roman" w:cs="Times New Roman"/>
                <w:color w:val="auto"/>
                <w:szCs w:val="21"/>
                <w:lang w:val="en-US" w:eastAsia="zh-CN"/>
              </w:rPr>
              <w:t>软水装置排污水、</w:t>
            </w:r>
            <w:r>
              <w:rPr>
                <w:rFonts w:hint="default" w:ascii="Times New Roman" w:hAnsi="Times New Roman" w:cs="Times New Roman"/>
                <w:color w:val="auto"/>
                <w:szCs w:val="21"/>
              </w:rPr>
              <w:t>初期雨水经污水处理设施处理，污水处理设施处理能力为</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t/d，采用</w:t>
            </w:r>
            <w:r>
              <w:rPr>
                <w:rFonts w:hint="default" w:ascii="Times New Roman" w:hAnsi="Times New Roman" w:cs="Times New Roman"/>
                <w:color w:val="auto"/>
                <w:sz w:val="21"/>
                <w:szCs w:val="21"/>
                <w:lang w:val="en-US" w:eastAsia="zh-CN"/>
              </w:rPr>
              <w:t>格栅+</w:t>
            </w:r>
            <w:r>
              <w:rPr>
                <w:rFonts w:hint="default" w:ascii="Times New Roman" w:hAnsi="Times New Roman" w:cs="Times New Roman"/>
                <w:color w:val="auto"/>
                <w:sz w:val="21"/>
                <w:szCs w:val="21"/>
              </w:rPr>
              <w:t>调节池+</w:t>
            </w:r>
            <w:r>
              <w:rPr>
                <w:rFonts w:hint="default" w:ascii="Times New Roman" w:hAnsi="Times New Roman" w:cs="Times New Roman"/>
                <w:sz w:val="21"/>
                <w:szCs w:val="21"/>
                <w:lang w:val="en-US" w:eastAsia="zh-CN"/>
              </w:rPr>
              <w:t>A</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0+</w:t>
            </w:r>
            <w:r>
              <w:rPr>
                <w:rFonts w:hint="default" w:ascii="Times New Roman" w:hAnsi="Times New Roman" w:cs="Times New Roman"/>
                <w:color w:val="auto"/>
                <w:sz w:val="21"/>
                <w:szCs w:val="21"/>
              </w:rPr>
              <w:t>MBR 膜生物反应+消毒</w:t>
            </w:r>
            <w:r>
              <w:rPr>
                <w:rFonts w:hint="default" w:ascii="Times New Roman" w:hAnsi="Times New Roman" w:cs="Times New Roman"/>
                <w:color w:val="auto"/>
                <w:szCs w:val="21"/>
              </w:rPr>
              <w:t>处理工艺，处理后满足（GB18466-2005）、</w:t>
            </w:r>
            <w:r>
              <w:rPr>
                <w:rFonts w:hint="default" w:ascii="Times New Roman" w:hAnsi="Times New Roman" w:cs="Times New Roman"/>
                <w:color w:val="auto"/>
              </w:rPr>
              <w:t>(GB/T 18920-2020)</w:t>
            </w:r>
            <w:r>
              <w:rPr>
                <w:rFonts w:hint="default" w:ascii="Times New Roman" w:hAnsi="Times New Roman" w:cs="Times New Roman"/>
                <w:color w:val="auto"/>
                <w:lang w:val="en-US" w:eastAsia="zh-CN"/>
              </w:rPr>
              <w:t>要求，非供暖季废水</w:t>
            </w:r>
            <w:r>
              <w:rPr>
                <w:rFonts w:hint="default" w:ascii="Times New Roman" w:hAnsi="Times New Roman" w:cs="Times New Roman"/>
                <w:color w:val="auto"/>
                <w:szCs w:val="21"/>
              </w:rPr>
              <w:t>作为</w:t>
            </w:r>
            <w:r>
              <w:rPr>
                <w:rFonts w:hint="default" w:ascii="Times New Roman" w:hAnsi="Times New Roman" w:cs="Times New Roman"/>
                <w:color w:val="auto"/>
                <w:szCs w:val="21"/>
                <w:lang w:val="en-US" w:eastAsia="zh-CN"/>
              </w:rPr>
              <w:t>绿化用水</w:t>
            </w:r>
            <w:r>
              <w:rPr>
                <w:rFonts w:hint="default" w:ascii="Times New Roman" w:hAnsi="Times New Roman" w:cs="Times New Roman"/>
                <w:color w:val="auto"/>
                <w:szCs w:val="21"/>
              </w:rPr>
              <w:t>回用</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供暖季废水由罐车拉运至污水处理厂进一步处理</w:t>
            </w:r>
          </w:p>
        </w:tc>
        <w:tc>
          <w:tcPr>
            <w:tcW w:w="300" w:type="pct"/>
            <w:noWrap w:val="0"/>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lang w:val="en-US" w:eastAsia="zh-CN"/>
              </w:rPr>
              <w:t>48</w:t>
            </w:r>
            <w:r>
              <w:rPr>
                <w:rFonts w:hint="default" w:ascii="Times New Roman" w:hAnsi="Times New Roman" w:cs="Times New Roman"/>
                <w:color w:val="auto"/>
              </w:rPr>
              <w:t xml:space="preserve"> </w:t>
            </w:r>
          </w:p>
        </w:tc>
        <w:tc>
          <w:tcPr>
            <w:tcW w:w="294"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10" w:type="pct"/>
            <w:noWrap w:val="0"/>
            <w:tcMar>
              <w:top w:w="0" w:type="dxa"/>
              <w:left w:w="108" w:type="dxa"/>
              <w:bottom w:w="0" w:type="dxa"/>
              <w:right w:w="108" w:type="dxa"/>
            </w:tcMar>
            <w:vAlign w:val="center"/>
          </w:tcPr>
          <w:p>
            <w:pPr>
              <w:pStyle w:val="27"/>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0.03</w:t>
            </w:r>
          </w:p>
        </w:tc>
        <w:tc>
          <w:tcPr>
            <w:tcW w:w="272"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179" w:type="pct"/>
            <w:vMerge w:val="restar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连续</w:t>
            </w:r>
          </w:p>
        </w:tc>
        <w:tc>
          <w:tcPr>
            <w:tcW w:w="186" w:type="pct"/>
            <w:noWrap/>
            <w:tcMar>
              <w:top w:w="0" w:type="dxa"/>
              <w:left w:w="108" w:type="dxa"/>
              <w:bottom w:w="0" w:type="dxa"/>
              <w:right w:w="108" w:type="dxa"/>
            </w:tcMar>
            <w:vAlign w:val="center"/>
          </w:tcPr>
          <w:p>
            <w:pPr>
              <w:pStyle w:val="27"/>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60mg/L</w:t>
            </w:r>
          </w:p>
        </w:tc>
        <w:tc>
          <w:tcPr>
            <w:tcW w:w="187"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73" w:type="pct"/>
            <w:vMerge w:val="restart"/>
            <w:noWrap/>
            <w:tcMar>
              <w:top w:w="0" w:type="dxa"/>
              <w:left w:w="108" w:type="dxa"/>
              <w:bottom w:w="0" w:type="dxa"/>
              <w:right w:w="108" w:type="dxa"/>
            </w:tcMar>
            <w:vAlign w:val="center"/>
          </w:tcPr>
          <w:p>
            <w:pPr>
              <w:pStyle w:val="27"/>
              <w:rPr>
                <w:rFonts w:hint="default" w:ascii="Times New Roman" w:hAnsi="Times New Roman" w:cs="Times New Roman" w:eastAsiaTheme="minorEastAsia"/>
                <w:color w:val="000000"/>
                <w:lang w:val="en-US" w:eastAsia="zh-CN"/>
              </w:rPr>
            </w:pPr>
            <w:r>
              <w:rPr>
                <w:rFonts w:hint="default" w:ascii="Times New Roman" w:hAnsi="Times New Roman" w:cs="Times New Roman"/>
                <w:color w:val="auto"/>
                <w:szCs w:val="21"/>
              </w:rPr>
              <w:t>《医疗机构水污染物排放标准》（GB18466-2005）表2及中排放标准限值、</w:t>
            </w:r>
            <w:r>
              <w:rPr>
                <w:rFonts w:hint="default" w:ascii="Times New Roman" w:hAnsi="Times New Roman" w:cs="Times New Roman"/>
                <w:color w:val="auto"/>
              </w:rPr>
              <w:t>《城市污水再生利用 城市杂用水水质》(GB/T 18920-2020)中</w:t>
            </w:r>
            <w:r>
              <w:rPr>
                <w:rFonts w:hint="eastAsia" w:ascii="Times New Roman" w:hAnsi="Times New Roman" w:cs="Times New Roman"/>
                <w:color w:val="auto"/>
                <w:lang w:val="en-US" w:eastAsia="zh-CN"/>
              </w:rPr>
              <w:t>绿化</w:t>
            </w:r>
            <w:r>
              <w:rPr>
                <w:color w:val="auto"/>
              </w:rPr>
              <w:t>用水水质标准值</w:t>
            </w:r>
            <w:r>
              <w:rPr>
                <w:rFonts w:hint="eastAsia"/>
                <w:color w:val="auto"/>
                <w:lang w:eastAsia="zh-CN"/>
              </w:rPr>
              <w:t>、</w:t>
            </w:r>
            <w:r>
              <w:rPr>
                <w:rFonts w:hint="eastAsia"/>
                <w:color w:val="auto"/>
                <w:lang w:val="en-US" w:eastAsia="zh-CN"/>
              </w:rPr>
              <w:t>突泉县突泉镇清源污水处理厂接纳标准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auto"/>
              </w:rPr>
            </w:pPr>
          </w:p>
        </w:tc>
        <w:tc>
          <w:tcPr>
            <w:tcW w:w="18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1"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57" w:type="pct"/>
            <w:noWrap w:val="0"/>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p>
        </w:tc>
        <w:tc>
          <w:tcPr>
            <w:tcW w:w="252"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auto"/>
                <w:highlight w:val="yellow"/>
              </w:rPr>
            </w:pPr>
          </w:p>
        </w:tc>
        <w:tc>
          <w:tcPr>
            <w:tcW w:w="226"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auto"/>
                <w:highlight w:val="yellow"/>
              </w:rPr>
            </w:pPr>
          </w:p>
        </w:tc>
        <w:tc>
          <w:tcPr>
            <w:tcW w:w="309" w:type="pct"/>
            <w:noWrap/>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153</w:t>
            </w:r>
          </w:p>
        </w:tc>
        <w:tc>
          <w:tcPr>
            <w:tcW w:w="247" w:type="pct"/>
            <w:noWrap/>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tcMar>
              <w:top w:w="0" w:type="dxa"/>
              <w:left w:w="108" w:type="dxa"/>
              <w:bottom w:w="0" w:type="dxa"/>
              <w:right w:w="108" w:type="dxa"/>
            </w:tcMar>
            <w:vAlign w:val="center"/>
          </w:tcPr>
          <w:p>
            <w:pPr>
              <w:pStyle w:val="2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0.19</w:t>
            </w:r>
          </w:p>
        </w:tc>
        <w:tc>
          <w:tcPr>
            <w:tcW w:w="760"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auto"/>
              </w:rPr>
            </w:pPr>
          </w:p>
        </w:tc>
        <w:tc>
          <w:tcPr>
            <w:tcW w:w="300" w:type="pct"/>
            <w:noWrap w:val="0"/>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8.0</w:t>
            </w:r>
          </w:p>
        </w:tc>
        <w:tc>
          <w:tcPr>
            <w:tcW w:w="294"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10"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lang w:val="en-US" w:eastAsia="zh-CN"/>
              </w:rPr>
              <w:t>0.005</w:t>
            </w:r>
            <w:r>
              <w:rPr>
                <w:rFonts w:hint="default" w:ascii="Times New Roman" w:hAnsi="Times New Roman" w:cs="Times New Roman"/>
                <w:color w:val="000000"/>
              </w:rPr>
              <w:t xml:space="preserve"> </w:t>
            </w:r>
          </w:p>
        </w:tc>
        <w:tc>
          <w:tcPr>
            <w:tcW w:w="272"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17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6" w:type="pct"/>
            <w:noWrap/>
            <w:tcMar>
              <w:top w:w="0" w:type="dxa"/>
              <w:left w:w="108" w:type="dxa"/>
              <w:bottom w:w="0" w:type="dxa"/>
              <w:right w:w="108" w:type="dxa"/>
            </w:tcMar>
            <w:vAlign w:val="center"/>
          </w:tcPr>
          <w:p>
            <w:pPr>
              <w:pStyle w:val="27"/>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10mg/L</w:t>
            </w:r>
          </w:p>
        </w:tc>
        <w:tc>
          <w:tcPr>
            <w:tcW w:w="187"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73"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auto"/>
              </w:rPr>
            </w:pPr>
          </w:p>
        </w:tc>
        <w:tc>
          <w:tcPr>
            <w:tcW w:w="18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1"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57" w:type="pct"/>
            <w:noWrap w:val="0"/>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rPr>
              <w:t>SS</w:t>
            </w:r>
          </w:p>
        </w:tc>
        <w:tc>
          <w:tcPr>
            <w:tcW w:w="252"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auto"/>
                <w:highlight w:val="yellow"/>
              </w:rPr>
            </w:pPr>
          </w:p>
        </w:tc>
        <w:tc>
          <w:tcPr>
            <w:tcW w:w="226"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auto"/>
                <w:highlight w:val="yellow"/>
              </w:rPr>
            </w:pPr>
          </w:p>
        </w:tc>
        <w:tc>
          <w:tcPr>
            <w:tcW w:w="309" w:type="pct"/>
            <w:noWrap/>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200</w:t>
            </w:r>
          </w:p>
        </w:tc>
        <w:tc>
          <w:tcPr>
            <w:tcW w:w="247" w:type="pct"/>
            <w:noWrap/>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tcMar>
              <w:top w:w="0" w:type="dxa"/>
              <w:left w:w="108" w:type="dxa"/>
              <w:bottom w:w="0" w:type="dxa"/>
              <w:right w:w="108" w:type="dxa"/>
            </w:tcMar>
            <w:vAlign w:val="center"/>
          </w:tcPr>
          <w:p>
            <w:pPr>
              <w:pStyle w:val="2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0.24</w:t>
            </w:r>
          </w:p>
        </w:tc>
        <w:tc>
          <w:tcPr>
            <w:tcW w:w="760"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auto"/>
              </w:rPr>
            </w:pPr>
          </w:p>
        </w:tc>
        <w:tc>
          <w:tcPr>
            <w:tcW w:w="300" w:type="pct"/>
            <w:noWrap w:val="0"/>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1</w:t>
            </w:r>
            <w:r>
              <w:rPr>
                <w:rFonts w:hint="default" w:ascii="Times New Roman" w:hAnsi="Times New Roman" w:cs="Times New Roman"/>
                <w:color w:val="auto"/>
                <w:szCs w:val="21"/>
                <w:lang w:val="en-US" w:eastAsia="zh-CN"/>
              </w:rPr>
              <w:t>5</w:t>
            </w:r>
            <w:r>
              <w:rPr>
                <w:rFonts w:hint="default" w:ascii="Times New Roman" w:hAnsi="Times New Roman" w:cs="Times New Roman"/>
                <w:color w:val="auto"/>
              </w:rPr>
              <w:t xml:space="preserve"> </w:t>
            </w:r>
          </w:p>
        </w:tc>
        <w:tc>
          <w:tcPr>
            <w:tcW w:w="294"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10"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lang w:val="en-US" w:eastAsia="zh-CN"/>
              </w:rPr>
              <w:t>0.009</w:t>
            </w:r>
            <w:r>
              <w:rPr>
                <w:rFonts w:hint="default" w:ascii="Times New Roman" w:hAnsi="Times New Roman" w:cs="Times New Roman"/>
                <w:color w:val="000000"/>
              </w:rPr>
              <w:t xml:space="preserve"> </w:t>
            </w:r>
          </w:p>
        </w:tc>
        <w:tc>
          <w:tcPr>
            <w:tcW w:w="272"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17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6" w:type="pct"/>
            <w:noWrap/>
            <w:tcMar>
              <w:top w:w="0" w:type="dxa"/>
              <w:left w:w="108" w:type="dxa"/>
              <w:bottom w:w="0" w:type="dxa"/>
              <w:right w:w="108" w:type="dxa"/>
            </w:tcMar>
            <w:vAlign w:val="center"/>
          </w:tcPr>
          <w:p>
            <w:pPr>
              <w:pStyle w:val="27"/>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20mg/L</w:t>
            </w:r>
          </w:p>
        </w:tc>
        <w:tc>
          <w:tcPr>
            <w:tcW w:w="187"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73"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3"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auto"/>
              </w:rPr>
            </w:pPr>
          </w:p>
        </w:tc>
        <w:tc>
          <w:tcPr>
            <w:tcW w:w="18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1"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257" w:type="pct"/>
            <w:noWrap w:val="0"/>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rPr>
              <w:t>氨氮</w:t>
            </w:r>
          </w:p>
        </w:tc>
        <w:tc>
          <w:tcPr>
            <w:tcW w:w="252"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auto"/>
                <w:highlight w:val="yellow"/>
              </w:rPr>
            </w:pPr>
          </w:p>
        </w:tc>
        <w:tc>
          <w:tcPr>
            <w:tcW w:w="226"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auto"/>
                <w:highlight w:val="yellow"/>
              </w:rPr>
            </w:pPr>
          </w:p>
        </w:tc>
        <w:tc>
          <w:tcPr>
            <w:tcW w:w="309" w:type="pct"/>
            <w:noWrap/>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17.5</w:t>
            </w:r>
          </w:p>
        </w:tc>
        <w:tc>
          <w:tcPr>
            <w:tcW w:w="247" w:type="pct"/>
            <w:noWrap/>
            <w:tcMar>
              <w:top w:w="0" w:type="dxa"/>
              <w:left w:w="108" w:type="dxa"/>
              <w:bottom w:w="0" w:type="dxa"/>
              <w:right w:w="108" w:type="dxa"/>
            </w:tcMar>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tcMar>
              <w:top w:w="0" w:type="dxa"/>
              <w:left w:w="108" w:type="dxa"/>
              <w:bottom w:w="0" w:type="dxa"/>
              <w:right w:w="108" w:type="dxa"/>
            </w:tcMar>
            <w:vAlign w:val="center"/>
          </w:tcPr>
          <w:p>
            <w:pPr>
              <w:pStyle w:val="2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w:t>
            </w:r>
            <w:r>
              <w:rPr>
                <w:rFonts w:hint="eastAsia" w:ascii="Times New Roman" w:hAnsi="Times New Roman" w:cs="Times New Roman"/>
                <w:color w:val="auto"/>
                <w:lang w:val="en-US" w:eastAsia="zh-CN"/>
              </w:rPr>
              <w:t>18</w:t>
            </w:r>
          </w:p>
        </w:tc>
        <w:tc>
          <w:tcPr>
            <w:tcW w:w="760"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auto"/>
              </w:rPr>
            </w:pPr>
          </w:p>
        </w:tc>
        <w:tc>
          <w:tcPr>
            <w:tcW w:w="300" w:type="pct"/>
            <w:noWrap w:val="0"/>
            <w:tcMar>
              <w:top w:w="0" w:type="dxa"/>
              <w:left w:w="108" w:type="dxa"/>
              <w:bottom w:w="0" w:type="dxa"/>
              <w:right w:w="108" w:type="dxa"/>
            </w:tcMar>
            <w:vAlign w:val="center"/>
          </w:tcPr>
          <w:p>
            <w:pPr>
              <w:pStyle w:val="27"/>
              <w:rPr>
                <w:rFonts w:hint="default" w:ascii="Times New Roman" w:hAnsi="Times New Roman" w:eastAsia="宋体" w:cs="Times New Roman"/>
                <w:color w:val="auto"/>
                <w:lang w:val="en-US" w:eastAsia="zh-CN"/>
              </w:rPr>
            </w:pPr>
            <w:r>
              <w:rPr>
                <w:rFonts w:hint="default" w:ascii="Times New Roman" w:hAnsi="Times New Roman" w:cs="Times New Roman"/>
                <w:color w:val="auto"/>
                <w:szCs w:val="21"/>
                <w:lang w:val="en-US" w:eastAsia="zh-CN"/>
              </w:rPr>
              <w:t>0.5</w:t>
            </w:r>
          </w:p>
        </w:tc>
        <w:tc>
          <w:tcPr>
            <w:tcW w:w="294"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10"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lang w:val="en-US" w:eastAsia="zh-CN"/>
              </w:rPr>
              <w:t>0.0003</w:t>
            </w:r>
            <w:r>
              <w:rPr>
                <w:rFonts w:hint="default" w:ascii="Times New Roman" w:hAnsi="Times New Roman" w:cs="Times New Roman"/>
                <w:color w:val="000000"/>
              </w:rPr>
              <w:t xml:space="preserve"> </w:t>
            </w:r>
          </w:p>
        </w:tc>
        <w:tc>
          <w:tcPr>
            <w:tcW w:w="272" w:type="pct"/>
            <w:noWrap w:val="0"/>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179" w:type="pct"/>
            <w:vMerge w:val="continue"/>
            <w:noWrap w:val="0"/>
            <w:tcMar>
              <w:top w:w="0" w:type="dxa"/>
              <w:left w:w="108" w:type="dxa"/>
              <w:bottom w:w="0" w:type="dxa"/>
              <w:right w:w="108" w:type="dxa"/>
            </w:tcMar>
            <w:vAlign w:val="center"/>
          </w:tcPr>
          <w:p>
            <w:pPr>
              <w:pStyle w:val="27"/>
              <w:rPr>
                <w:rFonts w:hint="default" w:ascii="Times New Roman" w:hAnsi="Times New Roman" w:cs="Times New Roman"/>
                <w:color w:val="000000"/>
              </w:rPr>
            </w:pPr>
          </w:p>
        </w:tc>
        <w:tc>
          <w:tcPr>
            <w:tcW w:w="186" w:type="pct"/>
            <w:noWrap/>
            <w:tcMar>
              <w:top w:w="0" w:type="dxa"/>
              <w:left w:w="108" w:type="dxa"/>
              <w:bottom w:w="0" w:type="dxa"/>
              <w:right w:w="108" w:type="dxa"/>
            </w:tcMar>
            <w:vAlign w:val="center"/>
          </w:tcPr>
          <w:p>
            <w:pPr>
              <w:pStyle w:val="27"/>
              <w:rPr>
                <w:rFonts w:hint="default" w:ascii="Times New Roman" w:hAnsi="Times New Roman" w:eastAsia="宋体" w:cs="Times New Roman"/>
                <w:color w:val="000000"/>
                <w:lang w:eastAsia="zh-CN"/>
              </w:rPr>
            </w:pPr>
            <w:r>
              <w:rPr>
                <w:rFonts w:hint="default" w:ascii="Times New Roman" w:hAnsi="Times New Roman" w:cs="Times New Roman"/>
                <w:color w:val="000000"/>
                <w:lang w:val="en-US" w:eastAsia="zh-CN"/>
              </w:rPr>
              <w:t>8</w:t>
            </w:r>
          </w:p>
        </w:tc>
        <w:tc>
          <w:tcPr>
            <w:tcW w:w="187" w:type="pct"/>
            <w:noWrap/>
            <w:tcMar>
              <w:top w:w="0" w:type="dxa"/>
              <w:left w:w="108" w:type="dxa"/>
              <w:bottom w:w="0" w:type="dxa"/>
              <w:right w:w="108" w:type="dxa"/>
            </w:tcMar>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73" w:type="pct"/>
            <w:vMerge w:val="continue"/>
            <w:noWrap/>
            <w:tcMar>
              <w:top w:w="0" w:type="dxa"/>
              <w:left w:w="108" w:type="dxa"/>
              <w:bottom w:w="0" w:type="dxa"/>
              <w:right w:w="108" w:type="dxa"/>
            </w:tcMar>
            <w:vAlign w:val="center"/>
          </w:tcPr>
          <w:p>
            <w:pPr>
              <w:pStyle w:val="27"/>
              <w:rPr>
                <w:rFonts w:hint="default" w:ascii="Times New Roman" w:hAnsi="Times New Roman" w:cs="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3" w:type="pct"/>
            <w:vMerge w:val="continue"/>
            <w:noWrap w:val="0"/>
            <w:vAlign w:val="center"/>
          </w:tcPr>
          <w:p>
            <w:pPr>
              <w:pStyle w:val="27"/>
              <w:rPr>
                <w:rFonts w:hint="default" w:ascii="Times New Roman" w:hAnsi="Times New Roman" w:cs="Times New Roman"/>
                <w:color w:val="auto"/>
              </w:rPr>
            </w:pPr>
          </w:p>
        </w:tc>
        <w:tc>
          <w:tcPr>
            <w:tcW w:w="189" w:type="pct"/>
            <w:vMerge w:val="continue"/>
            <w:noWrap w:val="0"/>
            <w:vAlign w:val="center"/>
          </w:tcPr>
          <w:p>
            <w:pPr>
              <w:pStyle w:val="27"/>
              <w:rPr>
                <w:rFonts w:hint="default" w:ascii="Times New Roman" w:hAnsi="Times New Roman" w:cs="Times New Roman"/>
                <w:color w:val="000000"/>
              </w:rPr>
            </w:pPr>
          </w:p>
        </w:tc>
        <w:tc>
          <w:tcPr>
            <w:tcW w:w="181" w:type="pct"/>
            <w:vMerge w:val="continue"/>
            <w:noWrap w:val="0"/>
            <w:vAlign w:val="center"/>
          </w:tcPr>
          <w:p>
            <w:pPr>
              <w:pStyle w:val="27"/>
              <w:rPr>
                <w:rFonts w:hint="default" w:ascii="Times New Roman" w:hAnsi="Times New Roman" w:cs="Times New Roman"/>
                <w:color w:val="000000"/>
              </w:rPr>
            </w:pPr>
          </w:p>
        </w:tc>
        <w:tc>
          <w:tcPr>
            <w:tcW w:w="25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pH（无量纲）</w:t>
            </w:r>
          </w:p>
        </w:tc>
        <w:tc>
          <w:tcPr>
            <w:tcW w:w="252" w:type="pct"/>
            <w:vMerge w:val="continue"/>
            <w:noWrap w:val="0"/>
            <w:vAlign w:val="center"/>
          </w:tcPr>
          <w:p>
            <w:pPr>
              <w:pStyle w:val="27"/>
              <w:rPr>
                <w:rFonts w:hint="default" w:ascii="Times New Roman" w:hAnsi="Times New Roman" w:cs="Times New Roman"/>
                <w:color w:val="auto"/>
                <w:highlight w:val="yellow"/>
              </w:rPr>
            </w:pPr>
          </w:p>
        </w:tc>
        <w:tc>
          <w:tcPr>
            <w:tcW w:w="226" w:type="pct"/>
            <w:vMerge w:val="continue"/>
            <w:noWrap w:val="0"/>
            <w:vAlign w:val="center"/>
          </w:tcPr>
          <w:p>
            <w:pPr>
              <w:pStyle w:val="27"/>
              <w:rPr>
                <w:rFonts w:hint="default" w:ascii="Times New Roman" w:hAnsi="Times New Roman" w:cs="Times New Roman"/>
                <w:color w:val="auto"/>
                <w:highlight w:val="yellow"/>
              </w:rPr>
            </w:pPr>
          </w:p>
        </w:tc>
        <w:tc>
          <w:tcPr>
            <w:tcW w:w="309"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7.25</w:t>
            </w:r>
          </w:p>
        </w:tc>
        <w:tc>
          <w:tcPr>
            <w:tcW w:w="24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760" w:type="pct"/>
            <w:vMerge w:val="continue"/>
            <w:noWrap w:val="0"/>
            <w:vAlign w:val="center"/>
          </w:tcPr>
          <w:p>
            <w:pPr>
              <w:pStyle w:val="27"/>
              <w:rPr>
                <w:rFonts w:hint="default" w:ascii="Times New Roman" w:hAnsi="Times New Roman" w:cs="Times New Roman"/>
                <w:color w:val="auto"/>
              </w:rPr>
            </w:pPr>
          </w:p>
        </w:tc>
        <w:tc>
          <w:tcPr>
            <w:tcW w:w="300" w:type="pct"/>
            <w:noWrap w:val="0"/>
            <w:vAlign w:val="center"/>
          </w:tcPr>
          <w:p>
            <w:pPr>
              <w:pStyle w:val="27"/>
              <w:rPr>
                <w:rFonts w:hint="default" w:ascii="Times New Roman" w:hAnsi="Times New Roman" w:eastAsia="宋体" w:cs="Times New Roman"/>
                <w:color w:val="auto"/>
                <w:lang w:val="en-US" w:eastAsia="zh-CN"/>
              </w:rPr>
            </w:pPr>
            <w:r>
              <w:rPr>
                <w:rFonts w:hint="default" w:ascii="Times New Roman" w:hAnsi="Times New Roman" w:cs="Times New Roman"/>
                <w:color w:val="auto"/>
              </w:rPr>
              <w:t>7.2</w:t>
            </w:r>
            <w:r>
              <w:rPr>
                <w:rFonts w:hint="default" w:ascii="Times New Roman" w:hAnsi="Times New Roman" w:cs="Times New Roman"/>
                <w:color w:val="auto"/>
                <w:lang w:val="en-US" w:eastAsia="zh-CN"/>
              </w:rPr>
              <w:t>2</w:t>
            </w:r>
          </w:p>
        </w:tc>
        <w:tc>
          <w:tcPr>
            <w:tcW w:w="294"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10"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272"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179" w:type="pct"/>
            <w:vMerge w:val="continue"/>
            <w:noWrap w:val="0"/>
            <w:vAlign w:val="center"/>
          </w:tcPr>
          <w:p>
            <w:pPr>
              <w:pStyle w:val="27"/>
              <w:rPr>
                <w:rFonts w:hint="default" w:ascii="Times New Roman" w:hAnsi="Times New Roman" w:cs="Times New Roman"/>
                <w:color w:val="000000"/>
              </w:rPr>
            </w:pPr>
          </w:p>
        </w:tc>
        <w:tc>
          <w:tcPr>
            <w:tcW w:w="186" w:type="pct"/>
            <w:noWrap w:val="0"/>
            <w:vAlign w:val="center"/>
          </w:tcPr>
          <w:p>
            <w:pPr>
              <w:pStyle w:val="27"/>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6-9</w:t>
            </w:r>
          </w:p>
        </w:tc>
        <w:tc>
          <w:tcPr>
            <w:tcW w:w="187" w:type="pct"/>
            <w:noWrap w:val="0"/>
            <w:vAlign w:val="center"/>
          </w:tcPr>
          <w:p>
            <w:pPr>
              <w:pStyle w:val="27"/>
              <w:rPr>
                <w:rFonts w:hint="default" w:ascii="Times New Roman" w:hAnsi="Times New Roman" w:cs="Times New Roman"/>
                <w:color w:val="000000"/>
              </w:rPr>
            </w:pPr>
          </w:p>
        </w:tc>
        <w:tc>
          <w:tcPr>
            <w:tcW w:w="373" w:type="pct"/>
            <w:vMerge w:val="continue"/>
            <w:noWrap w:val="0"/>
            <w:vAlign w:val="center"/>
          </w:tcPr>
          <w:p>
            <w:pPr>
              <w:pStyle w:val="27"/>
              <w:rPr>
                <w:rFonts w:hint="default" w:ascii="Times New Roman" w:hAnsi="Times New Roman" w:cs="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vAlign w:val="center"/>
          </w:tcPr>
          <w:p>
            <w:pPr>
              <w:pStyle w:val="27"/>
              <w:rPr>
                <w:rFonts w:hint="default" w:ascii="Times New Roman" w:hAnsi="Times New Roman" w:cs="Times New Roman"/>
                <w:color w:val="auto"/>
              </w:rPr>
            </w:pPr>
          </w:p>
        </w:tc>
        <w:tc>
          <w:tcPr>
            <w:tcW w:w="189" w:type="pct"/>
            <w:vMerge w:val="continue"/>
            <w:noWrap w:val="0"/>
            <w:vAlign w:val="center"/>
          </w:tcPr>
          <w:p>
            <w:pPr>
              <w:pStyle w:val="27"/>
              <w:rPr>
                <w:rFonts w:hint="default" w:ascii="Times New Roman" w:hAnsi="Times New Roman" w:cs="Times New Roman"/>
                <w:color w:val="auto"/>
              </w:rPr>
            </w:pPr>
          </w:p>
        </w:tc>
        <w:tc>
          <w:tcPr>
            <w:tcW w:w="181" w:type="pct"/>
            <w:vMerge w:val="continue"/>
            <w:noWrap w:val="0"/>
            <w:vAlign w:val="center"/>
          </w:tcPr>
          <w:p>
            <w:pPr>
              <w:pStyle w:val="27"/>
              <w:rPr>
                <w:rFonts w:hint="default" w:ascii="Times New Roman" w:hAnsi="Times New Roman" w:cs="Times New Roman"/>
                <w:color w:val="auto"/>
              </w:rPr>
            </w:pPr>
          </w:p>
        </w:tc>
        <w:tc>
          <w:tcPr>
            <w:tcW w:w="25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总余氯</w:t>
            </w:r>
          </w:p>
        </w:tc>
        <w:tc>
          <w:tcPr>
            <w:tcW w:w="252" w:type="pct"/>
            <w:vMerge w:val="continue"/>
            <w:noWrap w:val="0"/>
            <w:vAlign w:val="center"/>
          </w:tcPr>
          <w:p>
            <w:pPr>
              <w:pStyle w:val="27"/>
              <w:rPr>
                <w:rFonts w:hint="default" w:ascii="Times New Roman" w:hAnsi="Times New Roman" w:cs="Times New Roman"/>
                <w:color w:val="auto"/>
              </w:rPr>
            </w:pPr>
          </w:p>
        </w:tc>
        <w:tc>
          <w:tcPr>
            <w:tcW w:w="226" w:type="pct"/>
            <w:vMerge w:val="continue"/>
            <w:noWrap w:val="0"/>
            <w:vAlign w:val="center"/>
          </w:tcPr>
          <w:p>
            <w:pPr>
              <w:pStyle w:val="27"/>
              <w:rPr>
                <w:rFonts w:hint="default" w:ascii="Times New Roman" w:hAnsi="Times New Roman" w:cs="Times New Roman"/>
                <w:color w:val="auto"/>
              </w:rPr>
            </w:pPr>
          </w:p>
        </w:tc>
        <w:tc>
          <w:tcPr>
            <w:tcW w:w="309" w:type="pct"/>
            <w:noWrap w:val="0"/>
            <w:vAlign w:val="center"/>
          </w:tcPr>
          <w:p>
            <w:pPr>
              <w:pStyle w:val="27"/>
              <w:rPr>
                <w:rFonts w:hint="default" w:ascii="Times New Roman" w:hAnsi="Times New Roman" w:eastAsia="宋体" w:cs="Times New Roman"/>
                <w:color w:val="auto"/>
                <w:lang w:val="en-US" w:eastAsia="zh-CN"/>
              </w:rPr>
            </w:pPr>
            <w:r>
              <w:rPr>
                <w:rFonts w:hint="default" w:ascii="Times New Roman" w:hAnsi="Times New Roman" w:cs="Times New Roman"/>
                <w:color w:val="auto"/>
                <w:szCs w:val="21"/>
                <w:lang w:val="en-US" w:eastAsia="zh-CN"/>
              </w:rPr>
              <w:t>0.9</w:t>
            </w:r>
          </w:p>
        </w:tc>
        <w:tc>
          <w:tcPr>
            <w:tcW w:w="24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 xml:space="preserve">/ </w:t>
            </w:r>
          </w:p>
        </w:tc>
        <w:tc>
          <w:tcPr>
            <w:tcW w:w="760" w:type="pct"/>
            <w:vMerge w:val="continue"/>
            <w:noWrap w:val="0"/>
            <w:vAlign w:val="center"/>
          </w:tcPr>
          <w:p>
            <w:pPr>
              <w:pStyle w:val="27"/>
              <w:rPr>
                <w:rFonts w:hint="default" w:ascii="Times New Roman" w:hAnsi="Times New Roman" w:cs="Times New Roman"/>
                <w:color w:val="auto"/>
              </w:rPr>
            </w:pPr>
          </w:p>
        </w:tc>
        <w:tc>
          <w:tcPr>
            <w:tcW w:w="30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0.45</w:t>
            </w:r>
          </w:p>
        </w:tc>
        <w:tc>
          <w:tcPr>
            <w:tcW w:w="294"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lang w:val="en-US" w:eastAsia="zh-CN"/>
              </w:rPr>
              <w:t>0.00028</w:t>
            </w:r>
            <w:r>
              <w:rPr>
                <w:rFonts w:hint="default" w:ascii="Times New Roman" w:hAnsi="Times New Roman" w:cs="Times New Roman"/>
                <w:color w:val="auto"/>
              </w:rPr>
              <w:t xml:space="preserve"> </w:t>
            </w:r>
          </w:p>
        </w:tc>
        <w:tc>
          <w:tcPr>
            <w:tcW w:w="27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79" w:type="pct"/>
            <w:vMerge w:val="continue"/>
            <w:noWrap w:val="0"/>
            <w:vAlign w:val="center"/>
          </w:tcPr>
          <w:p>
            <w:pPr>
              <w:pStyle w:val="27"/>
              <w:rPr>
                <w:rFonts w:hint="default" w:ascii="Times New Roman" w:hAnsi="Times New Roman" w:cs="Times New Roman"/>
                <w:color w:val="000000"/>
              </w:rPr>
            </w:pPr>
          </w:p>
        </w:tc>
        <w:tc>
          <w:tcPr>
            <w:tcW w:w="186" w:type="pct"/>
            <w:noWrap w:val="0"/>
            <w:vAlign w:val="center"/>
          </w:tcPr>
          <w:p>
            <w:pPr>
              <w:pStyle w:val="27"/>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0.2-2.5mg/L</w:t>
            </w:r>
          </w:p>
        </w:tc>
        <w:tc>
          <w:tcPr>
            <w:tcW w:w="18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73" w:type="pct"/>
            <w:vMerge w:val="continue"/>
            <w:noWrap w:val="0"/>
            <w:vAlign w:val="center"/>
          </w:tcPr>
          <w:p>
            <w:pPr>
              <w:pStyle w:val="2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vAlign w:val="center"/>
          </w:tcPr>
          <w:p>
            <w:pPr>
              <w:pStyle w:val="27"/>
              <w:rPr>
                <w:rFonts w:hint="default" w:ascii="Times New Roman" w:hAnsi="Times New Roman" w:cs="Times New Roman"/>
                <w:color w:val="auto"/>
              </w:rPr>
            </w:pPr>
          </w:p>
        </w:tc>
        <w:tc>
          <w:tcPr>
            <w:tcW w:w="189" w:type="pct"/>
            <w:vMerge w:val="continue"/>
            <w:noWrap w:val="0"/>
            <w:vAlign w:val="center"/>
          </w:tcPr>
          <w:p>
            <w:pPr>
              <w:pStyle w:val="27"/>
              <w:rPr>
                <w:rFonts w:hint="default" w:ascii="Times New Roman" w:hAnsi="Times New Roman" w:cs="Times New Roman"/>
                <w:color w:val="auto"/>
              </w:rPr>
            </w:pPr>
          </w:p>
        </w:tc>
        <w:tc>
          <w:tcPr>
            <w:tcW w:w="181" w:type="pct"/>
            <w:vMerge w:val="continue"/>
            <w:noWrap w:val="0"/>
            <w:vAlign w:val="center"/>
          </w:tcPr>
          <w:p>
            <w:pPr>
              <w:pStyle w:val="27"/>
              <w:rPr>
                <w:rFonts w:hint="default" w:ascii="Times New Roman" w:hAnsi="Times New Roman" w:cs="Times New Roman"/>
                <w:color w:val="auto"/>
              </w:rPr>
            </w:pPr>
          </w:p>
        </w:tc>
        <w:tc>
          <w:tcPr>
            <w:tcW w:w="25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粪大肠菌群</w:t>
            </w:r>
          </w:p>
        </w:tc>
        <w:tc>
          <w:tcPr>
            <w:tcW w:w="252" w:type="pct"/>
            <w:vMerge w:val="continue"/>
            <w:noWrap w:val="0"/>
            <w:vAlign w:val="center"/>
          </w:tcPr>
          <w:p>
            <w:pPr>
              <w:pStyle w:val="27"/>
              <w:rPr>
                <w:rFonts w:hint="default" w:ascii="Times New Roman" w:hAnsi="Times New Roman" w:cs="Times New Roman"/>
                <w:color w:val="auto"/>
              </w:rPr>
            </w:pPr>
          </w:p>
        </w:tc>
        <w:tc>
          <w:tcPr>
            <w:tcW w:w="226" w:type="pct"/>
            <w:vMerge w:val="continue"/>
            <w:noWrap w:val="0"/>
            <w:vAlign w:val="center"/>
          </w:tcPr>
          <w:p>
            <w:pPr>
              <w:pStyle w:val="27"/>
              <w:rPr>
                <w:rFonts w:hint="default" w:ascii="Times New Roman" w:hAnsi="Times New Roman" w:cs="Times New Roman"/>
                <w:color w:val="auto"/>
              </w:rPr>
            </w:pPr>
          </w:p>
        </w:tc>
        <w:tc>
          <w:tcPr>
            <w:tcW w:w="309"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84000个/L</w:t>
            </w:r>
          </w:p>
        </w:tc>
        <w:tc>
          <w:tcPr>
            <w:tcW w:w="24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1.</w:t>
            </w:r>
            <w:r>
              <w:rPr>
                <w:rFonts w:hint="default" w:ascii="Times New Roman" w:hAnsi="Times New Roman" w:cs="Times New Roman"/>
                <w:color w:val="auto"/>
                <w:szCs w:val="21"/>
                <w:lang w:val="en-US" w:eastAsia="zh-CN"/>
              </w:rPr>
              <w:t>03</w:t>
            </w:r>
            <w:r>
              <w:rPr>
                <w:rFonts w:hint="default" w:ascii="Times New Roman" w:hAnsi="Times New Roman" w:cs="Times New Roman"/>
                <w:color w:val="auto"/>
                <w:szCs w:val="21"/>
              </w:rPr>
              <w:t>×10</w:t>
            </w:r>
            <w:r>
              <w:rPr>
                <w:rFonts w:hint="default" w:ascii="Times New Roman" w:hAnsi="Times New Roman" w:cs="Times New Roman"/>
                <w:color w:val="auto"/>
                <w:szCs w:val="21"/>
                <w:vertAlign w:val="superscript"/>
              </w:rPr>
              <w:t>11</w:t>
            </w:r>
            <w:r>
              <w:rPr>
                <w:rFonts w:hint="default" w:ascii="Times New Roman" w:hAnsi="Times New Roman" w:cs="Times New Roman"/>
                <w:color w:val="auto"/>
                <w:szCs w:val="21"/>
              </w:rPr>
              <w:t>个</w:t>
            </w:r>
          </w:p>
        </w:tc>
        <w:tc>
          <w:tcPr>
            <w:tcW w:w="760" w:type="pct"/>
            <w:vMerge w:val="continue"/>
            <w:noWrap w:val="0"/>
            <w:vAlign w:val="center"/>
          </w:tcPr>
          <w:p>
            <w:pPr>
              <w:pStyle w:val="27"/>
              <w:rPr>
                <w:rFonts w:hint="default" w:ascii="Times New Roman" w:hAnsi="Times New Roman" w:cs="Times New Roman"/>
                <w:color w:val="auto"/>
              </w:rPr>
            </w:pPr>
          </w:p>
        </w:tc>
        <w:tc>
          <w:tcPr>
            <w:tcW w:w="30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未检出</w:t>
            </w:r>
          </w:p>
        </w:tc>
        <w:tc>
          <w:tcPr>
            <w:tcW w:w="294"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27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79" w:type="pct"/>
            <w:vMerge w:val="continue"/>
            <w:noWrap w:val="0"/>
            <w:vAlign w:val="center"/>
          </w:tcPr>
          <w:p>
            <w:pPr>
              <w:pStyle w:val="27"/>
              <w:rPr>
                <w:rFonts w:hint="default" w:ascii="Times New Roman" w:hAnsi="Times New Roman" w:cs="Times New Roman"/>
                <w:color w:val="000000"/>
              </w:rPr>
            </w:pPr>
          </w:p>
        </w:tc>
        <w:tc>
          <w:tcPr>
            <w:tcW w:w="186" w:type="pct"/>
            <w:noWrap w:val="0"/>
            <w:vAlign w:val="center"/>
          </w:tcPr>
          <w:p>
            <w:pPr>
              <w:pStyle w:val="27"/>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500MPN/L</w:t>
            </w:r>
          </w:p>
        </w:tc>
        <w:tc>
          <w:tcPr>
            <w:tcW w:w="18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73" w:type="pct"/>
            <w:vMerge w:val="continue"/>
            <w:noWrap w:val="0"/>
            <w:vAlign w:val="center"/>
          </w:tcPr>
          <w:p>
            <w:pPr>
              <w:pStyle w:val="2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2" w:hRule="atLeast"/>
        </w:trPr>
        <w:tc>
          <w:tcPr>
            <w:tcW w:w="153" w:type="pct"/>
            <w:vMerge w:val="continue"/>
            <w:noWrap w:val="0"/>
            <w:vAlign w:val="center"/>
          </w:tcPr>
          <w:p>
            <w:pPr>
              <w:pStyle w:val="27"/>
              <w:rPr>
                <w:rFonts w:hint="default" w:ascii="Times New Roman" w:hAnsi="Times New Roman" w:cs="Times New Roman"/>
                <w:color w:val="auto"/>
              </w:rPr>
            </w:pPr>
          </w:p>
        </w:tc>
        <w:tc>
          <w:tcPr>
            <w:tcW w:w="189" w:type="pct"/>
            <w:vMerge w:val="restart"/>
            <w:noWrap w:val="0"/>
            <w:vAlign w:val="center"/>
          </w:tcPr>
          <w:p>
            <w:pPr>
              <w:jc w:val="center"/>
              <w:rPr>
                <w:rFonts w:hint="default" w:ascii="Times New Roman" w:hAnsi="Times New Roman" w:cs="Times New Roman"/>
              </w:rPr>
            </w:pPr>
            <w:r>
              <w:rPr>
                <w:rFonts w:hint="default" w:ascii="Times New Roman" w:hAnsi="Times New Roman" w:cs="Times New Roman"/>
                <w:szCs w:val="21"/>
              </w:rPr>
              <w:t>初期雨水</w:t>
            </w:r>
          </w:p>
        </w:tc>
        <w:tc>
          <w:tcPr>
            <w:tcW w:w="181" w:type="pct"/>
            <w:vMerge w:val="restar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全部回用</w:t>
            </w:r>
          </w:p>
        </w:tc>
        <w:tc>
          <w:tcPr>
            <w:tcW w:w="25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粪大肠菌群</w:t>
            </w:r>
          </w:p>
        </w:tc>
        <w:tc>
          <w:tcPr>
            <w:tcW w:w="25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226" w:type="pct"/>
            <w:vMerge w:val="restar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28</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309"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1000个/L</w:t>
            </w:r>
          </w:p>
        </w:tc>
        <w:tc>
          <w:tcPr>
            <w:tcW w:w="24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60" w:type="pct"/>
            <w:vMerge w:val="restar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拟建污水处理设施，处理后作为</w:t>
            </w:r>
            <w:r>
              <w:rPr>
                <w:rFonts w:hint="default" w:ascii="Times New Roman" w:hAnsi="Times New Roman" w:cs="Times New Roman"/>
                <w:color w:val="auto"/>
                <w:lang w:val="en-US" w:eastAsia="zh-CN"/>
              </w:rPr>
              <w:t>绿化</w:t>
            </w:r>
            <w:r>
              <w:rPr>
                <w:rFonts w:hint="default" w:ascii="Times New Roman" w:hAnsi="Times New Roman" w:cs="Times New Roman"/>
                <w:color w:val="auto"/>
              </w:rPr>
              <w:t>用水回用</w:t>
            </w:r>
          </w:p>
        </w:tc>
        <w:tc>
          <w:tcPr>
            <w:tcW w:w="300"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未检出</w:t>
            </w:r>
          </w:p>
        </w:tc>
        <w:tc>
          <w:tcPr>
            <w:tcW w:w="294"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0</w:t>
            </w:r>
          </w:p>
        </w:tc>
        <w:tc>
          <w:tcPr>
            <w:tcW w:w="272" w:type="pct"/>
            <w:noWrap w:val="0"/>
            <w:vAlign w:val="center"/>
          </w:tcPr>
          <w:p>
            <w:pPr>
              <w:keepNext w:val="0"/>
              <w:adjustRightInd/>
              <w:spacing w:line="240" w:lineRule="auto"/>
              <w:ind w:left="0" w:leftChars="0" w:right="-50" w:rightChars="0"/>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179" w:type="pct"/>
            <w:vMerge w:val="restart"/>
            <w:noWrap w:val="0"/>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间歇</w:t>
            </w:r>
          </w:p>
        </w:tc>
        <w:tc>
          <w:tcPr>
            <w:tcW w:w="186" w:type="pct"/>
            <w:noWrap w:val="0"/>
            <w:vAlign w:val="center"/>
          </w:tcPr>
          <w:p>
            <w:pPr>
              <w:pStyle w:val="38"/>
              <w:keepNext w:val="0"/>
              <w:adjustRightInd/>
              <w:spacing w:line="240" w:lineRule="auto"/>
              <w:ind w:left="0" w:leftChars="0" w:right="-50" w:rightChars="0"/>
              <w:textAlignment w:val="auto"/>
              <w:rPr>
                <w:rFonts w:hint="default" w:ascii="Times New Roman" w:hAnsi="Times New Roman" w:cs="Times New Roman"/>
                <w:color w:val="000000"/>
              </w:rPr>
            </w:pPr>
            <w:r>
              <w:rPr>
                <w:rFonts w:hint="default" w:ascii="Times New Roman" w:hAnsi="Times New Roman" w:cs="Times New Roman"/>
                <w:color w:val="auto"/>
                <w:kern w:val="2"/>
                <w:sz w:val="21"/>
                <w:szCs w:val="21"/>
              </w:rPr>
              <w:t>500MPN/L</w:t>
            </w:r>
          </w:p>
        </w:tc>
        <w:tc>
          <w:tcPr>
            <w:tcW w:w="18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73" w:type="pct"/>
            <w:vMerge w:val="continue"/>
            <w:noWrap w:val="0"/>
            <w:vAlign w:val="center"/>
          </w:tcPr>
          <w:p>
            <w:pPr>
              <w:pStyle w:val="2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vAlign w:val="center"/>
          </w:tcPr>
          <w:p>
            <w:pPr>
              <w:pStyle w:val="27"/>
              <w:rPr>
                <w:rFonts w:hint="default" w:ascii="Times New Roman" w:hAnsi="Times New Roman" w:cs="Times New Roman"/>
                <w:color w:val="auto"/>
              </w:rPr>
            </w:pPr>
          </w:p>
        </w:tc>
        <w:tc>
          <w:tcPr>
            <w:tcW w:w="189" w:type="pct"/>
            <w:vMerge w:val="continue"/>
            <w:noWrap w:val="0"/>
            <w:vAlign w:val="center"/>
          </w:tcPr>
          <w:p>
            <w:pPr>
              <w:pStyle w:val="27"/>
              <w:rPr>
                <w:rFonts w:hint="default" w:ascii="Times New Roman" w:hAnsi="Times New Roman" w:cs="Times New Roman"/>
                <w:color w:val="auto"/>
              </w:rPr>
            </w:pPr>
          </w:p>
        </w:tc>
        <w:tc>
          <w:tcPr>
            <w:tcW w:w="181" w:type="pct"/>
            <w:vMerge w:val="continue"/>
            <w:noWrap w:val="0"/>
            <w:vAlign w:val="center"/>
          </w:tcPr>
          <w:p>
            <w:pPr>
              <w:pStyle w:val="27"/>
              <w:rPr>
                <w:rFonts w:hint="default" w:ascii="Times New Roman" w:hAnsi="Times New Roman" w:cs="Times New Roman"/>
                <w:color w:val="auto"/>
              </w:rPr>
            </w:pPr>
          </w:p>
        </w:tc>
        <w:tc>
          <w:tcPr>
            <w:tcW w:w="25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COD</w:t>
            </w:r>
          </w:p>
        </w:tc>
        <w:tc>
          <w:tcPr>
            <w:tcW w:w="25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226" w:type="pct"/>
            <w:vMerge w:val="continue"/>
            <w:noWrap w:val="0"/>
            <w:vAlign w:val="center"/>
          </w:tcPr>
          <w:p>
            <w:pPr>
              <w:pStyle w:val="27"/>
              <w:rPr>
                <w:rFonts w:hint="default" w:ascii="Times New Roman" w:hAnsi="Times New Roman" w:cs="Times New Roman"/>
                <w:color w:val="auto"/>
              </w:rPr>
            </w:pPr>
          </w:p>
        </w:tc>
        <w:tc>
          <w:tcPr>
            <w:tcW w:w="309"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88</w:t>
            </w:r>
          </w:p>
        </w:tc>
        <w:tc>
          <w:tcPr>
            <w:tcW w:w="24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60" w:type="pct"/>
            <w:vMerge w:val="continue"/>
            <w:noWrap w:val="0"/>
            <w:vAlign w:val="center"/>
          </w:tcPr>
          <w:p>
            <w:pPr>
              <w:pStyle w:val="27"/>
              <w:rPr>
                <w:rFonts w:hint="default" w:ascii="Times New Roman" w:hAnsi="Times New Roman" w:cs="Times New Roman"/>
                <w:color w:val="auto"/>
              </w:rPr>
            </w:pPr>
          </w:p>
        </w:tc>
        <w:tc>
          <w:tcPr>
            <w:tcW w:w="300"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8.8</w:t>
            </w:r>
          </w:p>
        </w:tc>
        <w:tc>
          <w:tcPr>
            <w:tcW w:w="294"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0</w:t>
            </w:r>
          </w:p>
        </w:tc>
        <w:tc>
          <w:tcPr>
            <w:tcW w:w="272"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79" w:type="pct"/>
            <w:vMerge w:val="continue"/>
            <w:noWrap w:val="0"/>
            <w:vAlign w:val="center"/>
          </w:tcPr>
          <w:p>
            <w:pPr>
              <w:pStyle w:val="27"/>
              <w:rPr>
                <w:rFonts w:hint="default" w:ascii="Times New Roman" w:hAnsi="Times New Roman" w:cs="Times New Roman"/>
                <w:color w:val="000000"/>
              </w:rPr>
            </w:pPr>
          </w:p>
        </w:tc>
        <w:tc>
          <w:tcPr>
            <w:tcW w:w="186" w:type="pct"/>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auto"/>
                <w:szCs w:val="21"/>
              </w:rPr>
              <w:t>60</w:t>
            </w:r>
          </w:p>
        </w:tc>
        <w:tc>
          <w:tcPr>
            <w:tcW w:w="18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73" w:type="pct"/>
            <w:vMerge w:val="continue"/>
            <w:noWrap w:val="0"/>
            <w:vAlign w:val="center"/>
          </w:tcPr>
          <w:p>
            <w:pPr>
              <w:pStyle w:val="2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vAlign w:val="center"/>
          </w:tcPr>
          <w:p>
            <w:pPr>
              <w:pStyle w:val="27"/>
              <w:rPr>
                <w:rFonts w:hint="default" w:ascii="Times New Roman" w:hAnsi="Times New Roman" w:cs="Times New Roman"/>
                <w:color w:val="auto"/>
              </w:rPr>
            </w:pPr>
          </w:p>
        </w:tc>
        <w:tc>
          <w:tcPr>
            <w:tcW w:w="189" w:type="pct"/>
            <w:vMerge w:val="continue"/>
            <w:noWrap w:val="0"/>
            <w:vAlign w:val="center"/>
          </w:tcPr>
          <w:p>
            <w:pPr>
              <w:pStyle w:val="27"/>
              <w:rPr>
                <w:rFonts w:hint="default" w:ascii="Times New Roman" w:hAnsi="Times New Roman" w:cs="Times New Roman"/>
                <w:color w:val="auto"/>
              </w:rPr>
            </w:pPr>
          </w:p>
        </w:tc>
        <w:tc>
          <w:tcPr>
            <w:tcW w:w="181" w:type="pct"/>
            <w:vMerge w:val="continue"/>
            <w:noWrap w:val="0"/>
            <w:vAlign w:val="center"/>
          </w:tcPr>
          <w:p>
            <w:pPr>
              <w:pStyle w:val="27"/>
              <w:rPr>
                <w:rFonts w:hint="default" w:ascii="Times New Roman" w:hAnsi="Times New Roman" w:cs="Times New Roman"/>
                <w:color w:val="auto"/>
              </w:rPr>
            </w:pPr>
          </w:p>
        </w:tc>
        <w:tc>
          <w:tcPr>
            <w:tcW w:w="25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SS</w:t>
            </w:r>
          </w:p>
        </w:tc>
        <w:tc>
          <w:tcPr>
            <w:tcW w:w="25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226" w:type="pct"/>
            <w:vMerge w:val="continue"/>
            <w:noWrap w:val="0"/>
            <w:vAlign w:val="center"/>
          </w:tcPr>
          <w:p>
            <w:pPr>
              <w:pStyle w:val="27"/>
              <w:rPr>
                <w:rFonts w:hint="default" w:ascii="Times New Roman" w:hAnsi="Times New Roman" w:cs="Times New Roman"/>
                <w:color w:val="auto"/>
              </w:rPr>
            </w:pPr>
          </w:p>
        </w:tc>
        <w:tc>
          <w:tcPr>
            <w:tcW w:w="309"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24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60" w:type="pct"/>
            <w:vMerge w:val="continue"/>
            <w:noWrap w:val="0"/>
            <w:vAlign w:val="center"/>
          </w:tcPr>
          <w:p>
            <w:pPr>
              <w:pStyle w:val="27"/>
              <w:rPr>
                <w:rFonts w:hint="default" w:ascii="Times New Roman" w:hAnsi="Times New Roman" w:cs="Times New Roman"/>
                <w:color w:val="auto"/>
              </w:rPr>
            </w:pPr>
          </w:p>
        </w:tc>
        <w:tc>
          <w:tcPr>
            <w:tcW w:w="300"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294"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0</w:t>
            </w:r>
          </w:p>
        </w:tc>
        <w:tc>
          <w:tcPr>
            <w:tcW w:w="272"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79" w:type="pct"/>
            <w:vMerge w:val="continue"/>
            <w:noWrap w:val="0"/>
            <w:vAlign w:val="center"/>
          </w:tcPr>
          <w:p>
            <w:pPr>
              <w:pStyle w:val="27"/>
              <w:rPr>
                <w:rFonts w:hint="default" w:ascii="Times New Roman" w:hAnsi="Times New Roman" w:cs="Times New Roman"/>
                <w:color w:val="000000"/>
              </w:rPr>
            </w:pPr>
          </w:p>
        </w:tc>
        <w:tc>
          <w:tcPr>
            <w:tcW w:w="186" w:type="pct"/>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auto"/>
                <w:szCs w:val="21"/>
              </w:rPr>
              <w:t>20</w:t>
            </w:r>
          </w:p>
        </w:tc>
        <w:tc>
          <w:tcPr>
            <w:tcW w:w="18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73" w:type="pct"/>
            <w:vMerge w:val="continue"/>
            <w:noWrap w:val="0"/>
            <w:vAlign w:val="center"/>
          </w:tcPr>
          <w:p>
            <w:pPr>
              <w:pStyle w:val="2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vAlign w:val="center"/>
          </w:tcPr>
          <w:p>
            <w:pPr>
              <w:pStyle w:val="27"/>
              <w:rPr>
                <w:rFonts w:hint="default" w:ascii="Times New Roman" w:hAnsi="Times New Roman" w:cs="Times New Roman"/>
                <w:color w:val="auto"/>
              </w:rPr>
            </w:pPr>
          </w:p>
        </w:tc>
        <w:tc>
          <w:tcPr>
            <w:tcW w:w="189" w:type="pct"/>
            <w:vMerge w:val="restart"/>
            <w:noWrap w:val="0"/>
            <w:vAlign w:val="center"/>
          </w:tcPr>
          <w:p>
            <w:pPr>
              <w:pStyle w:val="27"/>
              <w:rPr>
                <w:rFonts w:hint="default" w:ascii="Times New Roman" w:hAnsi="Times New Roman" w:cs="Times New Roman"/>
                <w:color w:val="auto"/>
              </w:rPr>
            </w:pPr>
            <w:r>
              <w:rPr>
                <w:rFonts w:hint="default" w:ascii="Times New Roman" w:hAnsi="Times New Roman" w:cs="Times New Roman"/>
                <w:szCs w:val="21"/>
              </w:rPr>
              <w:t>生活污水</w:t>
            </w:r>
          </w:p>
        </w:tc>
        <w:tc>
          <w:tcPr>
            <w:tcW w:w="181" w:type="pct"/>
            <w:vMerge w:val="restart"/>
            <w:noWrap w:val="0"/>
            <w:vAlign w:val="center"/>
          </w:tcPr>
          <w:p>
            <w:pPr>
              <w:pStyle w:val="2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吸污车清运至污水处理厂</w:t>
            </w:r>
          </w:p>
        </w:tc>
        <w:tc>
          <w:tcPr>
            <w:tcW w:w="25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COD</w:t>
            </w:r>
          </w:p>
        </w:tc>
        <w:tc>
          <w:tcPr>
            <w:tcW w:w="252" w:type="pct"/>
            <w:vMerge w:val="restart"/>
            <w:noWrap w:val="0"/>
            <w:vAlign w:val="center"/>
          </w:tcPr>
          <w:p>
            <w:pPr>
              <w:pStyle w:val="2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175.2</w:t>
            </w:r>
          </w:p>
        </w:tc>
        <w:tc>
          <w:tcPr>
            <w:tcW w:w="226"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09"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476</w:t>
            </w:r>
          </w:p>
        </w:tc>
        <w:tc>
          <w:tcPr>
            <w:tcW w:w="24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08</w:t>
            </w:r>
          </w:p>
        </w:tc>
        <w:tc>
          <w:tcPr>
            <w:tcW w:w="760" w:type="pct"/>
            <w:vMerge w:val="restart"/>
            <w:noWrap w:val="0"/>
            <w:vAlign w:val="center"/>
          </w:tcPr>
          <w:p>
            <w:pPr>
              <w:pStyle w:val="27"/>
              <w:rPr>
                <w:rFonts w:hint="default" w:ascii="Times New Roman" w:hAnsi="Times New Roman" w:cs="Times New Roman"/>
                <w:color w:val="auto"/>
                <w:lang w:val="en-US"/>
              </w:rPr>
            </w:pPr>
            <w:r>
              <w:rPr>
                <w:rFonts w:hint="default" w:ascii="Times New Roman" w:hAnsi="Times New Roman" w:cs="Times New Roman"/>
                <w:color w:val="auto"/>
                <w:szCs w:val="21"/>
              </w:rPr>
              <w:t>生活污水排入处理中心新建防渗化粪池，化粪池处理效率15%，</w:t>
            </w:r>
            <w:r>
              <w:rPr>
                <w:rFonts w:hint="default" w:ascii="Times New Roman" w:hAnsi="Times New Roman" w:cs="Times New Roman"/>
                <w:color w:val="auto"/>
                <w:szCs w:val="21"/>
                <w:lang w:eastAsia="zh-CN"/>
              </w:rPr>
              <w:t>生活污水</w:t>
            </w:r>
            <w:r>
              <w:rPr>
                <w:rFonts w:hint="default" w:ascii="Times New Roman" w:hAnsi="Times New Roman" w:cs="Times New Roman"/>
                <w:color w:val="auto"/>
                <w:szCs w:val="21"/>
                <w:lang w:val="en-US" w:eastAsia="zh-CN"/>
              </w:rPr>
              <w:t>定期由吸污车清运至</w:t>
            </w:r>
            <w:r>
              <w:rPr>
                <w:rFonts w:hint="eastAsia" w:ascii="Times New Roman" w:hAnsi="Times New Roman" w:cs="Times New Roman"/>
                <w:color w:val="auto"/>
                <w:szCs w:val="21"/>
                <w:lang w:val="en-US" w:eastAsia="zh-CN"/>
              </w:rPr>
              <w:t>突泉县突泉镇清源污水处理厂</w:t>
            </w:r>
            <w:r>
              <w:rPr>
                <w:rFonts w:hint="default" w:ascii="Times New Roman" w:hAnsi="Times New Roman" w:cs="Times New Roman"/>
                <w:color w:val="auto"/>
                <w:szCs w:val="21"/>
                <w:lang w:val="en-US" w:eastAsia="zh-CN"/>
              </w:rPr>
              <w:t>进一步处理</w:t>
            </w:r>
          </w:p>
        </w:tc>
        <w:tc>
          <w:tcPr>
            <w:tcW w:w="300"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415</w:t>
            </w:r>
          </w:p>
        </w:tc>
        <w:tc>
          <w:tcPr>
            <w:tcW w:w="294"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0" w:type="pct"/>
            <w:noWrap w:val="0"/>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07</w:t>
            </w:r>
          </w:p>
        </w:tc>
        <w:tc>
          <w:tcPr>
            <w:tcW w:w="27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79" w:type="pct"/>
            <w:vMerge w:val="restart"/>
            <w:noWrap w:val="0"/>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间歇</w:t>
            </w:r>
          </w:p>
        </w:tc>
        <w:tc>
          <w:tcPr>
            <w:tcW w:w="186" w:type="pct"/>
            <w:noWrap w:val="0"/>
            <w:vAlign w:val="center"/>
          </w:tcPr>
          <w:p>
            <w:pPr>
              <w:jc w:val="center"/>
              <w:rPr>
                <w:rFonts w:hint="default" w:ascii="Times New Roman" w:hAnsi="Times New Roman" w:cs="Times New Roman"/>
                <w:color w:val="000000"/>
              </w:rPr>
            </w:pPr>
            <w:r>
              <w:rPr>
                <w:rFonts w:hint="eastAsia" w:ascii="Times New Roman" w:hAnsi="Times New Roman" w:cs="Times New Roman"/>
                <w:color w:val="auto"/>
                <w:szCs w:val="21"/>
                <w:lang w:val="en-US" w:eastAsia="zh-CN"/>
              </w:rPr>
              <w:t>45</w:t>
            </w:r>
            <w:r>
              <w:rPr>
                <w:rFonts w:hint="default" w:ascii="Times New Roman" w:hAnsi="Times New Roman" w:cs="Times New Roman"/>
                <w:color w:val="auto"/>
                <w:szCs w:val="21"/>
                <w:lang w:val="en-US" w:eastAsia="zh-CN"/>
              </w:rPr>
              <w:t>0</w:t>
            </w:r>
          </w:p>
        </w:tc>
        <w:tc>
          <w:tcPr>
            <w:tcW w:w="18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73" w:type="pct"/>
            <w:vMerge w:val="restart"/>
            <w:noWrap w:val="0"/>
            <w:vAlign w:val="center"/>
          </w:tcPr>
          <w:p>
            <w:pPr>
              <w:pStyle w:val="27"/>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突泉县突泉镇清源污水处理厂进水标准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vAlign w:val="center"/>
          </w:tcPr>
          <w:p>
            <w:pPr>
              <w:pStyle w:val="27"/>
              <w:rPr>
                <w:rFonts w:hint="default" w:ascii="Times New Roman" w:hAnsi="Times New Roman" w:cs="Times New Roman"/>
                <w:color w:val="auto"/>
              </w:rPr>
            </w:pPr>
          </w:p>
        </w:tc>
        <w:tc>
          <w:tcPr>
            <w:tcW w:w="189" w:type="pct"/>
            <w:vMerge w:val="continue"/>
            <w:noWrap w:val="0"/>
            <w:vAlign w:val="center"/>
          </w:tcPr>
          <w:p>
            <w:pPr>
              <w:pStyle w:val="27"/>
              <w:rPr>
                <w:rFonts w:hint="default" w:ascii="Times New Roman" w:hAnsi="Times New Roman" w:cs="Times New Roman"/>
                <w:color w:val="auto"/>
              </w:rPr>
            </w:pPr>
          </w:p>
        </w:tc>
        <w:tc>
          <w:tcPr>
            <w:tcW w:w="181" w:type="pct"/>
            <w:vMerge w:val="continue"/>
            <w:noWrap w:val="0"/>
            <w:vAlign w:val="center"/>
          </w:tcPr>
          <w:p>
            <w:pPr>
              <w:pStyle w:val="27"/>
              <w:rPr>
                <w:rFonts w:hint="default" w:ascii="Times New Roman" w:hAnsi="Times New Roman" w:cs="Times New Roman"/>
                <w:color w:val="auto"/>
              </w:rPr>
            </w:pPr>
          </w:p>
        </w:tc>
        <w:tc>
          <w:tcPr>
            <w:tcW w:w="25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252" w:type="pct"/>
            <w:vMerge w:val="continue"/>
            <w:noWrap w:val="0"/>
            <w:vAlign w:val="center"/>
          </w:tcPr>
          <w:p>
            <w:pPr>
              <w:pStyle w:val="27"/>
              <w:rPr>
                <w:rFonts w:hint="default" w:ascii="Times New Roman" w:hAnsi="Times New Roman" w:cs="Times New Roman"/>
                <w:color w:val="auto"/>
              </w:rPr>
            </w:pPr>
          </w:p>
        </w:tc>
        <w:tc>
          <w:tcPr>
            <w:tcW w:w="226"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09"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174</w:t>
            </w:r>
          </w:p>
        </w:tc>
        <w:tc>
          <w:tcPr>
            <w:tcW w:w="24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3</w:t>
            </w:r>
          </w:p>
        </w:tc>
        <w:tc>
          <w:tcPr>
            <w:tcW w:w="760" w:type="pct"/>
            <w:vMerge w:val="continue"/>
            <w:noWrap w:val="0"/>
            <w:vAlign w:val="center"/>
          </w:tcPr>
          <w:p>
            <w:pPr>
              <w:pStyle w:val="27"/>
              <w:rPr>
                <w:rFonts w:hint="default" w:ascii="Times New Roman" w:hAnsi="Times New Roman" w:cs="Times New Roman"/>
                <w:color w:val="auto"/>
              </w:rPr>
            </w:pPr>
          </w:p>
        </w:tc>
        <w:tc>
          <w:tcPr>
            <w:tcW w:w="300"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148</w:t>
            </w:r>
          </w:p>
        </w:tc>
        <w:tc>
          <w:tcPr>
            <w:tcW w:w="294"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0" w:type="pct"/>
            <w:noWrap w:val="0"/>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26</w:t>
            </w:r>
          </w:p>
        </w:tc>
        <w:tc>
          <w:tcPr>
            <w:tcW w:w="27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79" w:type="pct"/>
            <w:vMerge w:val="continue"/>
            <w:noWrap w:val="0"/>
            <w:vAlign w:val="center"/>
          </w:tcPr>
          <w:p>
            <w:pPr>
              <w:pStyle w:val="27"/>
              <w:rPr>
                <w:rFonts w:hint="default" w:ascii="Times New Roman" w:hAnsi="Times New Roman" w:cs="Times New Roman"/>
                <w:color w:val="000000"/>
              </w:rPr>
            </w:pPr>
          </w:p>
        </w:tc>
        <w:tc>
          <w:tcPr>
            <w:tcW w:w="186" w:type="pct"/>
            <w:noWrap w:val="0"/>
            <w:vAlign w:val="center"/>
          </w:tcPr>
          <w:p>
            <w:pPr>
              <w:jc w:val="center"/>
              <w:rPr>
                <w:rFonts w:hint="default" w:ascii="Times New Roman" w:hAnsi="Times New Roman" w:cs="Times New Roman"/>
                <w:color w:val="000000"/>
              </w:rPr>
            </w:pPr>
            <w:r>
              <w:rPr>
                <w:rFonts w:hint="eastAsia" w:ascii="Times New Roman" w:hAnsi="Times New Roman" w:cs="Times New Roman"/>
                <w:color w:val="000000"/>
                <w:szCs w:val="21"/>
                <w:lang w:val="en-US" w:eastAsia="zh-CN"/>
              </w:rPr>
              <w:t>2</w:t>
            </w:r>
            <w:r>
              <w:rPr>
                <w:rFonts w:hint="default" w:ascii="Times New Roman" w:hAnsi="Times New Roman" w:cs="Times New Roman"/>
                <w:color w:val="000000"/>
                <w:szCs w:val="21"/>
                <w:lang w:val="en-US" w:eastAsia="zh-CN"/>
              </w:rPr>
              <w:t>00</w:t>
            </w:r>
          </w:p>
        </w:tc>
        <w:tc>
          <w:tcPr>
            <w:tcW w:w="18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73" w:type="pct"/>
            <w:vMerge w:val="continue"/>
            <w:noWrap w:val="0"/>
            <w:vAlign w:val="center"/>
          </w:tcPr>
          <w:p>
            <w:pPr>
              <w:pStyle w:val="2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vAlign w:val="center"/>
          </w:tcPr>
          <w:p>
            <w:pPr>
              <w:pStyle w:val="27"/>
              <w:rPr>
                <w:rFonts w:hint="default" w:ascii="Times New Roman" w:hAnsi="Times New Roman" w:cs="Times New Roman"/>
                <w:color w:val="auto"/>
              </w:rPr>
            </w:pPr>
          </w:p>
        </w:tc>
        <w:tc>
          <w:tcPr>
            <w:tcW w:w="189" w:type="pct"/>
            <w:vMerge w:val="continue"/>
            <w:noWrap w:val="0"/>
            <w:vAlign w:val="center"/>
          </w:tcPr>
          <w:p>
            <w:pPr>
              <w:pStyle w:val="27"/>
              <w:rPr>
                <w:rFonts w:hint="default" w:ascii="Times New Roman" w:hAnsi="Times New Roman" w:cs="Times New Roman"/>
                <w:color w:val="auto"/>
              </w:rPr>
            </w:pPr>
          </w:p>
        </w:tc>
        <w:tc>
          <w:tcPr>
            <w:tcW w:w="181" w:type="pct"/>
            <w:vMerge w:val="continue"/>
            <w:noWrap w:val="0"/>
            <w:vAlign w:val="center"/>
          </w:tcPr>
          <w:p>
            <w:pPr>
              <w:pStyle w:val="27"/>
              <w:rPr>
                <w:rFonts w:hint="default" w:ascii="Times New Roman" w:hAnsi="Times New Roman" w:cs="Times New Roman"/>
                <w:color w:val="auto"/>
              </w:rPr>
            </w:pPr>
          </w:p>
        </w:tc>
        <w:tc>
          <w:tcPr>
            <w:tcW w:w="25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SS</w:t>
            </w:r>
          </w:p>
        </w:tc>
        <w:tc>
          <w:tcPr>
            <w:tcW w:w="252" w:type="pct"/>
            <w:vMerge w:val="continue"/>
            <w:noWrap w:val="0"/>
            <w:vAlign w:val="center"/>
          </w:tcPr>
          <w:p>
            <w:pPr>
              <w:pStyle w:val="27"/>
              <w:rPr>
                <w:rFonts w:hint="default" w:ascii="Times New Roman" w:hAnsi="Times New Roman" w:cs="Times New Roman"/>
                <w:color w:val="auto"/>
              </w:rPr>
            </w:pPr>
          </w:p>
        </w:tc>
        <w:tc>
          <w:tcPr>
            <w:tcW w:w="226"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09"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125</w:t>
            </w:r>
          </w:p>
        </w:tc>
        <w:tc>
          <w:tcPr>
            <w:tcW w:w="24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2</w:t>
            </w:r>
          </w:p>
        </w:tc>
        <w:tc>
          <w:tcPr>
            <w:tcW w:w="760" w:type="pct"/>
            <w:vMerge w:val="continue"/>
            <w:noWrap w:val="0"/>
            <w:vAlign w:val="center"/>
          </w:tcPr>
          <w:p>
            <w:pPr>
              <w:pStyle w:val="27"/>
              <w:rPr>
                <w:rFonts w:hint="default" w:ascii="Times New Roman" w:hAnsi="Times New Roman" w:cs="Times New Roman"/>
                <w:color w:val="auto"/>
              </w:rPr>
            </w:pPr>
          </w:p>
        </w:tc>
        <w:tc>
          <w:tcPr>
            <w:tcW w:w="300"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106</w:t>
            </w:r>
          </w:p>
        </w:tc>
        <w:tc>
          <w:tcPr>
            <w:tcW w:w="294"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0" w:type="pct"/>
            <w:noWrap w:val="0"/>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000000"/>
                <w:szCs w:val="21"/>
              </w:rPr>
              <w:t>0.0</w:t>
            </w:r>
            <w:r>
              <w:rPr>
                <w:rFonts w:hint="default" w:ascii="Times New Roman" w:hAnsi="Times New Roman" w:cs="Times New Roman"/>
                <w:color w:val="000000"/>
                <w:szCs w:val="21"/>
                <w:lang w:val="en-US" w:eastAsia="zh-CN"/>
              </w:rPr>
              <w:t>19</w:t>
            </w:r>
          </w:p>
        </w:tc>
        <w:tc>
          <w:tcPr>
            <w:tcW w:w="27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79" w:type="pct"/>
            <w:vMerge w:val="continue"/>
            <w:noWrap w:val="0"/>
            <w:vAlign w:val="center"/>
          </w:tcPr>
          <w:p>
            <w:pPr>
              <w:pStyle w:val="27"/>
              <w:rPr>
                <w:rFonts w:hint="default" w:ascii="Times New Roman" w:hAnsi="Times New Roman" w:cs="Times New Roman"/>
                <w:color w:val="000000"/>
              </w:rPr>
            </w:pPr>
          </w:p>
        </w:tc>
        <w:tc>
          <w:tcPr>
            <w:tcW w:w="186" w:type="pct"/>
            <w:noWrap w:val="0"/>
            <w:vAlign w:val="center"/>
          </w:tcPr>
          <w:p>
            <w:pPr>
              <w:jc w:val="center"/>
              <w:rPr>
                <w:rFonts w:hint="default" w:ascii="Times New Roman" w:hAnsi="Times New Roman" w:cs="Times New Roman"/>
                <w:color w:val="000000"/>
              </w:rPr>
            </w:pPr>
            <w:r>
              <w:rPr>
                <w:rFonts w:hint="eastAsia" w:ascii="Times New Roman" w:hAnsi="Times New Roman" w:cs="Times New Roman"/>
                <w:color w:val="000000"/>
                <w:szCs w:val="21"/>
                <w:lang w:val="en-US" w:eastAsia="zh-CN"/>
              </w:rPr>
              <w:t>2</w:t>
            </w:r>
            <w:r>
              <w:rPr>
                <w:rFonts w:hint="default" w:ascii="Times New Roman" w:hAnsi="Times New Roman" w:cs="Times New Roman"/>
                <w:color w:val="000000"/>
                <w:szCs w:val="21"/>
                <w:lang w:val="en-US" w:eastAsia="zh-CN"/>
              </w:rPr>
              <w:t>00</w:t>
            </w:r>
          </w:p>
        </w:tc>
        <w:tc>
          <w:tcPr>
            <w:tcW w:w="18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73" w:type="pct"/>
            <w:vMerge w:val="continue"/>
            <w:noWrap w:val="0"/>
            <w:vAlign w:val="center"/>
          </w:tcPr>
          <w:p>
            <w:pPr>
              <w:pStyle w:val="2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vAlign w:val="center"/>
          </w:tcPr>
          <w:p>
            <w:pPr>
              <w:pStyle w:val="27"/>
              <w:rPr>
                <w:rFonts w:hint="default" w:ascii="Times New Roman" w:hAnsi="Times New Roman" w:cs="Times New Roman"/>
                <w:color w:val="auto"/>
              </w:rPr>
            </w:pPr>
          </w:p>
        </w:tc>
        <w:tc>
          <w:tcPr>
            <w:tcW w:w="189" w:type="pct"/>
            <w:vMerge w:val="continue"/>
            <w:noWrap w:val="0"/>
            <w:vAlign w:val="center"/>
          </w:tcPr>
          <w:p>
            <w:pPr>
              <w:pStyle w:val="27"/>
              <w:rPr>
                <w:rFonts w:hint="default" w:ascii="Times New Roman" w:hAnsi="Times New Roman" w:cs="Times New Roman"/>
                <w:color w:val="auto"/>
              </w:rPr>
            </w:pPr>
          </w:p>
        </w:tc>
        <w:tc>
          <w:tcPr>
            <w:tcW w:w="181" w:type="pct"/>
            <w:vMerge w:val="continue"/>
            <w:noWrap w:val="0"/>
            <w:vAlign w:val="center"/>
          </w:tcPr>
          <w:p>
            <w:pPr>
              <w:pStyle w:val="27"/>
              <w:rPr>
                <w:rFonts w:hint="default" w:ascii="Times New Roman" w:hAnsi="Times New Roman" w:cs="Times New Roman"/>
                <w:color w:val="auto"/>
              </w:rPr>
            </w:pPr>
          </w:p>
        </w:tc>
        <w:tc>
          <w:tcPr>
            <w:tcW w:w="25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氨氮</w:t>
            </w:r>
          </w:p>
        </w:tc>
        <w:tc>
          <w:tcPr>
            <w:tcW w:w="252" w:type="pct"/>
            <w:vMerge w:val="continue"/>
            <w:noWrap w:val="0"/>
            <w:vAlign w:val="center"/>
          </w:tcPr>
          <w:p>
            <w:pPr>
              <w:pStyle w:val="27"/>
              <w:rPr>
                <w:rFonts w:hint="default" w:ascii="Times New Roman" w:hAnsi="Times New Roman" w:cs="Times New Roman"/>
                <w:color w:val="auto"/>
              </w:rPr>
            </w:pPr>
          </w:p>
        </w:tc>
        <w:tc>
          <w:tcPr>
            <w:tcW w:w="226"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09"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12.393</w:t>
            </w:r>
          </w:p>
        </w:tc>
        <w:tc>
          <w:tcPr>
            <w:tcW w:w="24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000000"/>
                <w:szCs w:val="21"/>
              </w:rPr>
              <w:t>0.00</w:t>
            </w:r>
            <w:r>
              <w:rPr>
                <w:rFonts w:hint="default" w:ascii="Times New Roman" w:hAnsi="Times New Roman" w:cs="Times New Roman"/>
                <w:color w:val="000000"/>
                <w:szCs w:val="21"/>
                <w:lang w:val="en-US" w:eastAsia="zh-CN"/>
              </w:rPr>
              <w:t>2</w:t>
            </w:r>
          </w:p>
        </w:tc>
        <w:tc>
          <w:tcPr>
            <w:tcW w:w="760" w:type="pct"/>
            <w:vMerge w:val="continue"/>
            <w:noWrap w:val="0"/>
            <w:vAlign w:val="center"/>
          </w:tcPr>
          <w:p>
            <w:pPr>
              <w:pStyle w:val="27"/>
              <w:rPr>
                <w:rFonts w:hint="default" w:ascii="Times New Roman" w:hAnsi="Times New Roman" w:cs="Times New Roman"/>
                <w:color w:val="auto"/>
              </w:rPr>
            </w:pPr>
          </w:p>
        </w:tc>
        <w:tc>
          <w:tcPr>
            <w:tcW w:w="300"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10.534</w:t>
            </w:r>
          </w:p>
        </w:tc>
        <w:tc>
          <w:tcPr>
            <w:tcW w:w="294"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0" w:type="pct"/>
            <w:noWrap w:val="0"/>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000000"/>
                <w:szCs w:val="21"/>
              </w:rPr>
              <w:t>0.00</w:t>
            </w:r>
            <w:r>
              <w:rPr>
                <w:rFonts w:hint="default" w:ascii="Times New Roman" w:hAnsi="Times New Roman" w:cs="Times New Roman"/>
                <w:color w:val="000000"/>
                <w:szCs w:val="21"/>
                <w:lang w:val="en-US" w:eastAsia="zh-CN"/>
              </w:rPr>
              <w:t>1</w:t>
            </w:r>
            <w:r>
              <w:rPr>
                <w:rFonts w:hint="default" w:ascii="Times New Roman" w:hAnsi="Times New Roman" w:cs="Times New Roman"/>
                <w:color w:val="000000"/>
                <w:szCs w:val="21"/>
              </w:rPr>
              <w:t>8</w:t>
            </w:r>
          </w:p>
        </w:tc>
        <w:tc>
          <w:tcPr>
            <w:tcW w:w="27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79" w:type="pct"/>
            <w:vMerge w:val="continue"/>
            <w:noWrap w:val="0"/>
            <w:vAlign w:val="center"/>
          </w:tcPr>
          <w:p>
            <w:pPr>
              <w:pStyle w:val="27"/>
              <w:rPr>
                <w:rFonts w:hint="default" w:ascii="Times New Roman" w:hAnsi="Times New Roman" w:cs="Times New Roman"/>
                <w:color w:val="000000"/>
              </w:rPr>
            </w:pPr>
          </w:p>
        </w:tc>
        <w:tc>
          <w:tcPr>
            <w:tcW w:w="186" w:type="pct"/>
            <w:noWrap w:val="0"/>
            <w:vAlign w:val="center"/>
          </w:tcPr>
          <w:p>
            <w:pPr>
              <w:jc w:val="center"/>
              <w:rPr>
                <w:rFonts w:hint="default" w:ascii="Times New Roman" w:hAnsi="Times New Roman" w:cs="Times New Roman" w:eastAsiaTheme="minorEastAsia"/>
                <w:color w:val="000000"/>
                <w:lang w:val="en-US" w:eastAsia="zh-CN"/>
              </w:rPr>
            </w:pPr>
            <w:r>
              <w:rPr>
                <w:rFonts w:hint="eastAsia" w:ascii="Times New Roman" w:hAnsi="Times New Roman" w:cs="Times New Roman"/>
                <w:color w:val="000000"/>
                <w:szCs w:val="21"/>
                <w:lang w:val="en-US" w:eastAsia="zh-CN"/>
              </w:rPr>
              <w:t>50</w:t>
            </w:r>
          </w:p>
        </w:tc>
        <w:tc>
          <w:tcPr>
            <w:tcW w:w="18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73" w:type="pct"/>
            <w:vMerge w:val="continue"/>
            <w:noWrap w:val="0"/>
            <w:vAlign w:val="center"/>
          </w:tcPr>
          <w:p>
            <w:pPr>
              <w:pStyle w:val="2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vAlign w:val="center"/>
          </w:tcPr>
          <w:p>
            <w:pPr>
              <w:pStyle w:val="27"/>
              <w:rPr>
                <w:rFonts w:hint="default" w:ascii="Times New Roman" w:hAnsi="Times New Roman" w:cs="Times New Roman"/>
                <w:color w:val="auto"/>
              </w:rPr>
            </w:pPr>
          </w:p>
        </w:tc>
        <w:tc>
          <w:tcPr>
            <w:tcW w:w="189" w:type="pct"/>
            <w:vMerge w:val="continue"/>
            <w:noWrap w:val="0"/>
            <w:vAlign w:val="center"/>
          </w:tcPr>
          <w:p>
            <w:pPr>
              <w:pStyle w:val="27"/>
              <w:rPr>
                <w:rFonts w:hint="default" w:ascii="Times New Roman" w:hAnsi="Times New Roman" w:cs="Times New Roman"/>
                <w:color w:val="auto"/>
              </w:rPr>
            </w:pPr>
          </w:p>
        </w:tc>
        <w:tc>
          <w:tcPr>
            <w:tcW w:w="181" w:type="pct"/>
            <w:vMerge w:val="continue"/>
            <w:noWrap w:val="0"/>
            <w:vAlign w:val="center"/>
          </w:tcPr>
          <w:p>
            <w:pPr>
              <w:pStyle w:val="27"/>
              <w:rPr>
                <w:rFonts w:hint="default" w:ascii="Times New Roman" w:hAnsi="Times New Roman" w:cs="Times New Roman"/>
                <w:color w:val="auto"/>
              </w:rPr>
            </w:pPr>
          </w:p>
        </w:tc>
        <w:tc>
          <w:tcPr>
            <w:tcW w:w="25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szCs w:val="21"/>
              </w:rPr>
              <w:t>pH</w:t>
            </w:r>
          </w:p>
        </w:tc>
        <w:tc>
          <w:tcPr>
            <w:tcW w:w="252" w:type="pct"/>
            <w:vMerge w:val="continue"/>
            <w:noWrap w:val="0"/>
            <w:vAlign w:val="center"/>
          </w:tcPr>
          <w:p>
            <w:pPr>
              <w:pStyle w:val="27"/>
              <w:rPr>
                <w:rFonts w:hint="default" w:ascii="Times New Roman" w:hAnsi="Times New Roman" w:cs="Times New Roman"/>
                <w:color w:val="auto"/>
              </w:rPr>
            </w:pPr>
          </w:p>
        </w:tc>
        <w:tc>
          <w:tcPr>
            <w:tcW w:w="226"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09"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7.8</w:t>
            </w:r>
          </w:p>
        </w:tc>
        <w:tc>
          <w:tcPr>
            <w:tcW w:w="24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60" w:type="pct"/>
            <w:vMerge w:val="continue"/>
            <w:noWrap w:val="0"/>
            <w:vAlign w:val="center"/>
          </w:tcPr>
          <w:p>
            <w:pPr>
              <w:pStyle w:val="27"/>
              <w:rPr>
                <w:rFonts w:hint="default" w:ascii="Times New Roman" w:hAnsi="Times New Roman" w:cs="Times New Roman"/>
                <w:color w:val="auto"/>
              </w:rPr>
            </w:pPr>
          </w:p>
        </w:tc>
        <w:tc>
          <w:tcPr>
            <w:tcW w:w="300"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szCs w:val="21"/>
              </w:rPr>
              <w:t>7.8</w:t>
            </w:r>
          </w:p>
        </w:tc>
        <w:tc>
          <w:tcPr>
            <w:tcW w:w="294"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27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79" w:type="pct"/>
            <w:vMerge w:val="continue"/>
            <w:noWrap w:val="0"/>
            <w:vAlign w:val="center"/>
          </w:tcPr>
          <w:p>
            <w:pPr>
              <w:pStyle w:val="27"/>
              <w:rPr>
                <w:rFonts w:hint="default" w:ascii="Times New Roman" w:hAnsi="Times New Roman" w:cs="Times New Roman"/>
                <w:color w:val="000000"/>
              </w:rPr>
            </w:pPr>
          </w:p>
        </w:tc>
        <w:tc>
          <w:tcPr>
            <w:tcW w:w="186" w:type="pct"/>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szCs w:val="21"/>
                <w:lang w:val="en-US" w:eastAsia="zh-CN"/>
              </w:rPr>
              <w:t>6-9</w:t>
            </w:r>
          </w:p>
        </w:tc>
        <w:tc>
          <w:tcPr>
            <w:tcW w:w="18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73" w:type="pct"/>
            <w:vMerge w:val="continue"/>
            <w:noWrap w:val="0"/>
            <w:vAlign w:val="center"/>
          </w:tcPr>
          <w:p>
            <w:pPr>
              <w:pStyle w:val="2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153" w:type="pct"/>
            <w:vMerge w:val="restar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固废</w:t>
            </w:r>
          </w:p>
        </w:tc>
        <w:tc>
          <w:tcPr>
            <w:tcW w:w="189"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bCs/>
                <w:spacing w:val="-10"/>
                <w:szCs w:val="21"/>
                <w:lang w:val="en-US" w:eastAsia="zh-CN"/>
              </w:rPr>
              <w:t>高温蒸汽</w:t>
            </w:r>
            <w:r>
              <w:rPr>
                <w:rFonts w:hint="default" w:ascii="Times New Roman" w:hAnsi="Times New Roman" w:cs="Times New Roman"/>
                <w:bCs/>
                <w:spacing w:val="-10"/>
                <w:szCs w:val="21"/>
              </w:rPr>
              <w:t>消毒系统处理</w:t>
            </w:r>
          </w:p>
        </w:tc>
        <w:tc>
          <w:tcPr>
            <w:tcW w:w="181" w:type="pct"/>
            <w:vMerge w:val="restar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妥善处置</w:t>
            </w:r>
          </w:p>
        </w:tc>
        <w:tc>
          <w:tcPr>
            <w:tcW w:w="25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bCs/>
                <w:spacing w:val="-10"/>
                <w:szCs w:val="21"/>
                <w:lang w:val="en-US" w:eastAsia="zh-CN"/>
              </w:rPr>
              <w:t>高温蒸汽</w:t>
            </w:r>
            <w:r>
              <w:rPr>
                <w:rFonts w:hint="default" w:ascii="Times New Roman" w:hAnsi="Times New Roman" w:cs="Times New Roman"/>
                <w:bCs/>
                <w:spacing w:val="-10"/>
                <w:szCs w:val="21"/>
              </w:rPr>
              <w:t>消毒系统处理后医疗废物S2</w:t>
            </w:r>
          </w:p>
        </w:tc>
        <w:tc>
          <w:tcPr>
            <w:tcW w:w="25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226"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09"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24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vAlign w:val="center"/>
          </w:tcPr>
          <w:p>
            <w:pPr>
              <w:pStyle w:val="27"/>
              <w:rPr>
                <w:rFonts w:hint="default" w:ascii="Times New Roman" w:hAnsi="Times New Roman" w:eastAsia="宋体" w:cs="Times New Roman"/>
                <w:color w:val="auto"/>
                <w:lang w:val="en-US" w:eastAsia="zh-CN"/>
              </w:rPr>
            </w:pPr>
            <w:r>
              <w:rPr>
                <w:rFonts w:hint="eastAsia" w:ascii="Times New Roman" w:hAnsi="Times New Roman" w:cs="Times New Roman"/>
                <w:bCs/>
                <w:color w:val="auto"/>
                <w:spacing w:val="-10"/>
                <w:szCs w:val="21"/>
                <w:lang w:val="en-US" w:eastAsia="zh-CN"/>
              </w:rPr>
              <w:t>483.965</w:t>
            </w:r>
          </w:p>
        </w:tc>
        <w:tc>
          <w:tcPr>
            <w:tcW w:w="76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bCs/>
                <w:color w:val="auto"/>
                <w:spacing w:val="-10"/>
                <w:szCs w:val="21"/>
              </w:rPr>
              <w:t>进入本项目</w:t>
            </w:r>
            <w:r>
              <w:rPr>
                <w:rFonts w:hint="default" w:ascii="Times New Roman" w:hAnsi="Times New Roman" w:cs="Times New Roman"/>
                <w:bCs/>
                <w:color w:val="auto"/>
                <w:spacing w:val="-10"/>
                <w:szCs w:val="21"/>
                <w:lang w:val="en-US" w:eastAsia="zh-CN"/>
              </w:rPr>
              <w:t>处置中心</w:t>
            </w:r>
            <w:r>
              <w:rPr>
                <w:rFonts w:hint="default" w:ascii="Times New Roman" w:hAnsi="Times New Roman" w:cs="Times New Roman"/>
                <w:bCs/>
                <w:color w:val="auto"/>
                <w:spacing w:val="-10"/>
                <w:szCs w:val="21"/>
              </w:rPr>
              <w:t>处理后</w:t>
            </w:r>
            <w:r>
              <w:rPr>
                <w:rFonts w:hint="default" w:ascii="Times New Roman" w:hAnsi="Times New Roman" w:cs="Times New Roman"/>
                <w:bCs/>
                <w:color w:val="auto"/>
                <w:spacing w:val="-10"/>
                <w:szCs w:val="21"/>
                <w:lang w:val="en-US" w:eastAsia="zh-CN"/>
              </w:rPr>
              <w:t>进入阿尔山市</w:t>
            </w:r>
            <w:r>
              <w:rPr>
                <w:rFonts w:hint="default" w:ascii="Times New Roman" w:hAnsi="Times New Roman" w:cs="Times New Roman"/>
                <w:bCs/>
                <w:color w:val="auto"/>
                <w:spacing w:val="-10"/>
                <w:szCs w:val="21"/>
              </w:rPr>
              <w:t>生活垃圾填埋场填埋</w:t>
            </w:r>
          </w:p>
        </w:tc>
        <w:tc>
          <w:tcPr>
            <w:tcW w:w="30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294"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0</w:t>
            </w:r>
          </w:p>
        </w:tc>
        <w:tc>
          <w:tcPr>
            <w:tcW w:w="27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79"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86"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8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73"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szCs w:val="21"/>
              </w:rPr>
              <w:t>《一般工业固体废物贮存和填埋污染控制标准》(GB18599-2020)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vAlign w:val="center"/>
          </w:tcPr>
          <w:p>
            <w:pPr>
              <w:pStyle w:val="27"/>
              <w:rPr>
                <w:rFonts w:hint="default" w:ascii="Times New Roman" w:hAnsi="Times New Roman" w:cs="Times New Roman"/>
                <w:color w:val="auto"/>
              </w:rPr>
            </w:pPr>
          </w:p>
        </w:tc>
        <w:tc>
          <w:tcPr>
            <w:tcW w:w="189" w:type="pct"/>
            <w:vMerge w:val="restart"/>
            <w:noWrap w:val="0"/>
            <w:vAlign w:val="center"/>
          </w:tcPr>
          <w:p>
            <w:pPr>
              <w:pStyle w:val="27"/>
              <w:rPr>
                <w:rFonts w:hint="default" w:ascii="Times New Roman" w:hAnsi="Times New Roman" w:cs="Times New Roman"/>
                <w:color w:val="auto"/>
              </w:rPr>
            </w:pPr>
            <w:r>
              <w:rPr>
                <w:rFonts w:hint="default" w:ascii="Times New Roman" w:hAnsi="Times New Roman" w:cs="Times New Roman"/>
                <w:bCs/>
                <w:spacing w:val="-10"/>
              </w:rPr>
              <w:t>废气处理</w:t>
            </w:r>
          </w:p>
        </w:tc>
        <w:tc>
          <w:tcPr>
            <w:tcW w:w="181" w:type="pct"/>
            <w:vMerge w:val="continue"/>
            <w:noWrap w:val="0"/>
            <w:vAlign w:val="center"/>
          </w:tcPr>
          <w:p>
            <w:pPr>
              <w:pStyle w:val="27"/>
              <w:rPr>
                <w:rFonts w:hint="default" w:ascii="Times New Roman" w:hAnsi="Times New Roman" w:cs="Times New Roman"/>
                <w:color w:val="auto"/>
              </w:rPr>
            </w:pPr>
          </w:p>
        </w:tc>
        <w:tc>
          <w:tcPr>
            <w:tcW w:w="257"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bCs/>
                <w:color w:val="000000"/>
                <w:spacing w:val="-10"/>
                <w:szCs w:val="21"/>
              </w:rPr>
              <w:t>废活性炭（S3）</w:t>
            </w:r>
          </w:p>
        </w:tc>
        <w:tc>
          <w:tcPr>
            <w:tcW w:w="252"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226"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09"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247"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15" w:type="pct"/>
            <w:noWrap w:val="0"/>
            <w:vAlign w:val="center"/>
          </w:tcPr>
          <w:p>
            <w:pPr>
              <w:pStyle w:val="27"/>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0.07</w:t>
            </w:r>
          </w:p>
        </w:tc>
        <w:tc>
          <w:tcPr>
            <w:tcW w:w="760"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bCs/>
                <w:color w:val="000000"/>
                <w:spacing w:val="-10"/>
                <w:szCs w:val="21"/>
              </w:rPr>
              <w:t>消毒后，暂存危废暂存间，委托有危废资质单位处置</w:t>
            </w:r>
          </w:p>
        </w:tc>
        <w:tc>
          <w:tcPr>
            <w:tcW w:w="300"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294"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10"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0</w:t>
            </w:r>
          </w:p>
        </w:tc>
        <w:tc>
          <w:tcPr>
            <w:tcW w:w="272"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179"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186"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8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73" w:type="pct"/>
            <w:vMerge w:val="restart"/>
            <w:noWrap w:val="0"/>
            <w:vAlign w:val="center"/>
          </w:tcPr>
          <w:p>
            <w:pPr>
              <w:pStyle w:val="27"/>
              <w:rPr>
                <w:rFonts w:hint="default" w:ascii="Times New Roman" w:hAnsi="Times New Roman" w:cs="Times New Roman"/>
                <w:color w:val="auto"/>
              </w:rPr>
            </w:pPr>
            <w:r>
              <w:rPr>
                <w:rFonts w:hint="default" w:ascii="Times New Roman" w:hAnsi="Times New Roman" w:cs="Times New Roman"/>
                <w:szCs w:val="21"/>
              </w:rPr>
              <w:t>《危险废物贮存污染控制标准》（GB18597-20</w:t>
            </w:r>
            <w:r>
              <w:rPr>
                <w:rStyle w:val="24"/>
                <w:rFonts w:hint="default" w:ascii="Times New Roman" w:hAnsi="Times New Roman" w:cs="Times New Roman"/>
                <w:kern w:val="0"/>
                <w:szCs w:val="20"/>
              </w:rPr>
              <w:t>23</w:t>
            </w: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vAlign w:val="center"/>
          </w:tcPr>
          <w:p>
            <w:pPr>
              <w:pStyle w:val="27"/>
              <w:rPr>
                <w:rFonts w:hint="default" w:ascii="Times New Roman" w:hAnsi="Times New Roman" w:cs="Times New Roman"/>
                <w:color w:val="auto"/>
              </w:rPr>
            </w:pPr>
          </w:p>
        </w:tc>
        <w:tc>
          <w:tcPr>
            <w:tcW w:w="189" w:type="pct"/>
            <w:vMerge w:val="continue"/>
            <w:noWrap w:val="0"/>
            <w:vAlign w:val="center"/>
          </w:tcPr>
          <w:p>
            <w:pPr>
              <w:pStyle w:val="27"/>
              <w:rPr>
                <w:rFonts w:hint="default" w:ascii="Times New Roman" w:hAnsi="Times New Roman" w:cs="Times New Roman"/>
                <w:color w:val="auto"/>
              </w:rPr>
            </w:pPr>
          </w:p>
        </w:tc>
        <w:tc>
          <w:tcPr>
            <w:tcW w:w="181" w:type="pct"/>
            <w:vMerge w:val="continue"/>
            <w:noWrap w:val="0"/>
            <w:vAlign w:val="center"/>
          </w:tcPr>
          <w:p>
            <w:pPr>
              <w:pStyle w:val="27"/>
              <w:rPr>
                <w:rFonts w:hint="default" w:ascii="Times New Roman" w:hAnsi="Times New Roman" w:cs="Times New Roman"/>
                <w:color w:val="auto"/>
              </w:rPr>
            </w:pPr>
          </w:p>
        </w:tc>
        <w:tc>
          <w:tcPr>
            <w:tcW w:w="257"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bCs/>
                <w:spacing w:val="-10"/>
                <w:szCs w:val="21"/>
              </w:rPr>
              <w:t>废UV灯管S4</w:t>
            </w:r>
          </w:p>
        </w:tc>
        <w:tc>
          <w:tcPr>
            <w:tcW w:w="252"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rPr>
              <w:t>/</w:t>
            </w:r>
          </w:p>
        </w:tc>
        <w:tc>
          <w:tcPr>
            <w:tcW w:w="226"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rPr>
              <w:t>/</w:t>
            </w:r>
          </w:p>
        </w:tc>
        <w:tc>
          <w:tcPr>
            <w:tcW w:w="309"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rPr>
              <w:t>/</w:t>
            </w:r>
          </w:p>
        </w:tc>
        <w:tc>
          <w:tcPr>
            <w:tcW w:w="247"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rPr>
              <w:t>/</w:t>
            </w:r>
          </w:p>
        </w:tc>
        <w:tc>
          <w:tcPr>
            <w:tcW w:w="315"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rPr>
              <w:t>0.0</w:t>
            </w:r>
            <w:r>
              <w:rPr>
                <w:rFonts w:hint="default" w:ascii="Times New Roman" w:hAnsi="Times New Roman" w:cs="Times New Roman"/>
                <w:color w:val="auto"/>
                <w:lang w:val="en-US" w:eastAsia="zh-CN"/>
              </w:rPr>
              <w:t>0</w:t>
            </w:r>
            <w:r>
              <w:rPr>
                <w:rFonts w:hint="default" w:ascii="Times New Roman" w:hAnsi="Times New Roman" w:cs="Times New Roman"/>
                <w:color w:val="auto"/>
              </w:rPr>
              <w:t>05</w:t>
            </w:r>
          </w:p>
        </w:tc>
        <w:tc>
          <w:tcPr>
            <w:tcW w:w="760"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bCs/>
                <w:color w:val="auto"/>
                <w:spacing w:val="-10"/>
                <w:szCs w:val="21"/>
              </w:rPr>
              <w:t>消毒后，暂存危废暂存间，委托有危废资质单位处置</w:t>
            </w:r>
          </w:p>
        </w:tc>
        <w:tc>
          <w:tcPr>
            <w:tcW w:w="300"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rPr>
              <w:t>/</w:t>
            </w:r>
          </w:p>
        </w:tc>
        <w:tc>
          <w:tcPr>
            <w:tcW w:w="294"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rPr>
              <w:t>/</w:t>
            </w:r>
          </w:p>
        </w:tc>
        <w:tc>
          <w:tcPr>
            <w:tcW w:w="310"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rPr>
              <w:t>0</w:t>
            </w:r>
          </w:p>
        </w:tc>
        <w:tc>
          <w:tcPr>
            <w:tcW w:w="272"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rPr>
              <w:t>/</w:t>
            </w:r>
          </w:p>
        </w:tc>
        <w:tc>
          <w:tcPr>
            <w:tcW w:w="179"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rPr>
              <w:t>/</w:t>
            </w:r>
          </w:p>
        </w:tc>
        <w:tc>
          <w:tcPr>
            <w:tcW w:w="186"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rPr>
              <w:t>/</w:t>
            </w:r>
          </w:p>
        </w:tc>
        <w:tc>
          <w:tcPr>
            <w:tcW w:w="187" w:type="pct"/>
            <w:noWrap w:val="0"/>
            <w:vAlign w:val="center"/>
          </w:tcPr>
          <w:p>
            <w:pPr>
              <w:pStyle w:val="27"/>
              <w:rPr>
                <w:rFonts w:hint="default" w:ascii="Times New Roman" w:hAnsi="Times New Roman" w:cs="Times New Roman"/>
                <w:color w:val="auto"/>
                <w:szCs w:val="21"/>
              </w:rPr>
            </w:pPr>
            <w:r>
              <w:rPr>
                <w:rFonts w:hint="default" w:ascii="Times New Roman" w:hAnsi="Times New Roman" w:cs="Times New Roman"/>
                <w:color w:val="auto"/>
              </w:rPr>
              <w:t>/</w:t>
            </w:r>
          </w:p>
        </w:tc>
        <w:tc>
          <w:tcPr>
            <w:tcW w:w="373" w:type="pct"/>
            <w:vMerge w:val="continue"/>
            <w:noWrap w:val="0"/>
            <w:vAlign w:val="center"/>
          </w:tcPr>
          <w:p>
            <w:pPr>
              <w:pStyle w:val="2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vAlign w:val="center"/>
          </w:tcPr>
          <w:p>
            <w:pPr>
              <w:pStyle w:val="27"/>
              <w:rPr>
                <w:rFonts w:hint="default" w:ascii="Times New Roman" w:hAnsi="Times New Roman" w:cs="Times New Roman"/>
                <w:color w:val="auto"/>
              </w:rPr>
            </w:pPr>
          </w:p>
        </w:tc>
        <w:tc>
          <w:tcPr>
            <w:tcW w:w="189" w:type="pct"/>
            <w:noWrap w:val="0"/>
            <w:vAlign w:val="center"/>
          </w:tcPr>
          <w:p>
            <w:pPr>
              <w:rPr>
                <w:rFonts w:hint="default" w:ascii="Times New Roman" w:hAnsi="Times New Roman" w:cs="Times New Roman"/>
              </w:rPr>
            </w:pPr>
            <w:r>
              <w:rPr>
                <w:rFonts w:hint="default" w:ascii="Times New Roman" w:hAnsi="Times New Roman" w:cs="Times New Roman"/>
                <w:bCs/>
                <w:spacing w:val="-10"/>
              </w:rPr>
              <w:t>污水处理</w:t>
            </w:r>
          </w:p>
        </w:tc>
        <w:tc>
          <w:tcPr>
            <w:tcW w:w="181" w:type="pct"/>
            <w:vMerge w:val="continue"/>
            <w:noWrap w:val="0"/>
            <w:vAlign w:val="center"/>
          </w:tcPr>
          <w:p>
            <w:pPr>
              <w:pStyle w:val="27"/>
              <w:rPr>
                <w:rFonts w:hint="default" w:ascii="Times New Roman" w:hAnsi="Times New Roman" w:cs="Times New Roman"/>
                <w:color w:val="auto"/>
              </w:rPr>
            </w:pPr>
          </w:p>
        </w:tc>
        <w:tc>
          <w:tcPr>
            <w:tcW w:w="25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bCs/>
                <w:spacing w:val="-10"/>
                <w:szCs w:val="21"/>
              </w:rPr>
              <w:t>污水处理设施污泥S5</w:t>
            </w:r>
          </w:p>
        </w:tc>
        <w:tc>
          <w:tcPr>
            <w:tcW w:w="25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226"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09"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24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bCs/>
                <w:color w:val="000000"/>
                <w:spacing w:val="-10"/>
                <w:szCs w:val="21"/>
              </w:rPr>
              <w:t>0.37</w:t>
            </w:r>
          </w:p>
        </w:tc>
        <w:tc>
          <w:tcPr>
            <w:tcW w:w="760"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bCs/>
                <w:color w:val="000000"/>
                <w:spacing w:val="-10"/>
                <w:szCs w:val="21"/>
              </w:rPr>
              <w:t>压滤消毒干化后，暂存危废暂存间，委托有危废资质单位处置</w:t>
            </w:r>
          </w:p>
        </w:tc>
        <w:tc>
          <w:tcPr>
            <w:tcW w:w="300"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294"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w:t>
            </w:r>
          </w:p>
        </w:tc>
        <w:tc>
          <w:tcPr>
            <w:tcW w:w="310" w:type="pct"/>
            <w:noWrap w:val="0"/>
            <w:vAlign w:val="center"/>
          </w:tcPr>
          <w:p>
            <w:pPr>
              <w:pStyle w:val="27"/>
              <w:rPr>
                <w:rFonts w:hint="default" w:ascii="Times New Roman" w:hAnsi="Times New Roman" w:cs="Times New Roman"/>
                <w:color w:val="000000"/>
              </w:rPr>
            </w:pPr>
            <w:r>
              <w:rPr>
                <w:rFonts w:hint="default" w:ascii="Times New Roman" w:hAnsi="Times New Roman" w:cs="Times New Roman"/>
                <w:color w:val="000000"/>
              </w:rPr>
              <w:t>0</w:t>
            </w:r>
          </w:p>
        </w:tc>
        <w:tc>
          <w:tcPr>
            <w:tcW w:w="27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79"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86"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8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73" w:type="pct"/>
            <w:vMerge w:val="continue"/>
            <w:noWrap w:val="0"/>
            <w:vAlign w:val="center"/>
          </w:tcPr>
          <w:p>
            <w:pPr>
              <w:pStyle w:val="2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vAlign w:val="center"/>
          </w:tcPr>
          <w:p>
            <w:pPr>
              <w:pStyle w:val="27"/>
              <w:rPr>
                <w:rFonts w:hint="default" w:ascii="Times New Roman" w:hAnsi="Times New Roman" w:cs="Times New Roman"/>
                <w:color w:val="auto"/>
              </w:rPr>
            </w:pPr>
          </w:p>
        </w:tc>
        <w:tc>
          <w:tcPr>
            <w:tcW w:w="189" w:type="pct"/>
            <w:noWrap w:val="0"/>
            <w:vAlign w:val="center"/>
          </w:tcPr>
          <w:p>
            <w:pPr>
              <w:rPr>
                <w:rFonts w:hint="default" w:ascii="Times New Roman" w:hAnsi="Times New Roman" w:cs="Times New Roman"/>
              </w:rPr>
            </w:pPr>
            <w:r>
              <w:rPr>
                <w:rFonts w:hint="default" w:ascii="Times New Roman" w:hAnsi="Times New Roman" w:cs="Times New Roman"/>
                <w:bCs/>
                <w:spacing w:val="-10"/>
              </w:rPr>
              <w:t>医废周转及</w:t>
            </w:r>
            <w:r>
              <w:rPr>
                <w:rFonts w:hint="default" w:ascii="Times New Roman" w:hAnsi="Times New Roman" w:cs="Times New Roman"/>
                <w:bCs/>
                <w:spacing w:val="-10"/>
                <w:lang w:val="en-US" w:eastAsia="zh-CN"/>
              </w:rPr>
              <w:t>蒸汽</w:t>
            </w:r>
            <w:r>
              <w:rPr>
                <w:rFonts w:hint="default" w:ascii="Times New Roman" w:hAnsi="Times New Roman" w:cs="Times New Roman"/>
                <w:bCs/>
                <w:spacing w:val="-10"/>
              </w:rPr>
              <w:t>消毒</w:t>
            </w:r>
          </w:p>
        </w:tc>
        <w:tc>
          <w:tcPr>
            <w:tcW w:w="181" w:type="pct"/>
            <w:vMerge w:val="continue"/>
            <w:noWrap w:val="0"/>
            <w:vAlign w:val="center"/>
          </w:tcPr>
          <w:p>
            <w:pPr>
              <w:pStyle w:val="27"/>
              <w:rPr>
                <w:rFonts w:hint="default" w:ascii="Times New Roman" w:hAnsi="Times New Roman" w:cs="Times New Roman"/>
                <w:color w:val="auto"/>
              </w:rPr>
            </w:pPr>
          </w:p>
        </w:tc>
        <w:tc>
          <w:tcPr>
            <w:tcW w:w="257" w:type="pct"/>
            <w:noWrap w:val="0"/>
            <w:vAlign w:val="center"/>
          </w:tcPr>
          <w:p>
            <w:pPr>
              <w:pStyle w:val="27"/>
              <w:rPr>
                <w:rFonts w:hint="default" w:ascii="Times New Roman" w:hAnsi="Times New Roman" w:eastAsia="宋体" w:cs="Times New Roman"/>
                <w:color w:val="auto"/>
                <w:lang w:val="en-US" w:eastAsia="zh-CN"/>
              </w:rPr>
            </w:pPr>
            <w:r>
              <w:rPr>
                <w:rFonts w:hint="default" w:ascii="Times New Roman" w:hAnsi="Times New Roman" w:cs="Times New Roman"/>
                <w:bCs/>
                <w:color w:val="auto"/>
                <w:spacing w:val="-10"/>
                <w:szCs w:val="21"/>
              </w:rPr>
              <w:t>废周转箱</w:t>
            </w:r>
            <w:r>
              <w:rPr>
                <w:rFonts w:hint="default" w:ascii="Times New Roman" w:hAnsi="Times New Roman" w:cs="Times New Roman"/>
                <w:color w:val="auto"/>
                <w:szCs w:val="21"/>
              </w:rPr>
              <w:t>及废一次性防护用品</w:t>
            </w:r>
            <w:r>
              <w:rPr>
                <w:rFonts w:hint="default" w:ascii="Times New Roman" w:hAnsi="Times New Roman" w:cs="Times New Roman"/>
                <w:bCs/>
                <w:color w:val="auto"/>
                <w:spacing w:val="-10"/>
                <w:szCs w:val="21"/>
              </w:rPr>
              <w:t>S</w:t>
            </w:r>
            <w:r>
              <w:rPr>
                <w:rFonts w:hint="default" w:ascii="Times New Roman" w:hAnsi="Times New Roman" w:cs="Times New Roman"/>
                <w:bCs/>
                <w:color w:val="auto"/>
                <w:spacing w:val="-10"/>
                <w:szCs w:val="21"/>
                <w:lang w:val="en-US" w:eastAsia="zh-CN"/>
              </w:rPr>
              <w:t>6</w:t>
            </w:r>
          </w:p>
        </w:tc>
        <w:tc>
          <w:tcPr>
            <w:tcW w:w="25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226"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09"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24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0.015</w:t>
            </w:r>
          </w:p>
        </w:tc>
        <w:tc>
          <w:tcPr>
            <w:tcW w:w="76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进入本项目处理中心处理后一并进入</w:t>
            </w:r>
            <w:r>
              <w:rPr>
                <w:rFonts w:hint="default" w:ascii="Times New Roman" w:hAnsi="Times New Roman" w:cs="Times New Roman"/>
                <w:color w:val="auto"/>
                <w:lang w:val="en-US" w:eastAsia="zh-CN"/>
              </w:rPr>
              <w:t>阿尔山市</w:t>
            </w:r>
            <w:r>
              <w:rPr>
                <w:rFonts w:hint="default" w:ascii="Times New Roman" w:hAnsi="Times New Roman" w:cs="Times New Roman"/>
                <w:color w:val="auto"/>
              </w:rPr>
              <w:t>生活垃圾填埋场填埋处置</w:t>
            </w:r>
          </w:p>
        </w:tc>
        <w:tc>
          <w:tcPr>
            <w:tcW w:w="30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294"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0</w:t>
            </w:r>
          </w:p>
        </w:tc>
        <w:tc>
          <w:tcPr>
            <w:tcW w:w="27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79"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86"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8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73" w:type="pct"/>
            <w:vMerge w:val="continue"/>
            <w:noWrap w:val="0"/>
            <w:vAlign w:val="center"/>
          </w:tcPr>
          <w:p>
            <w:pPr>
              <w:pStyle w:val="2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vMerge w:val="continue"/>
            <w:noWrap w:val="0"/>
            <w:vAlign w:val="center"/>
          </w:tcPr>
          <w:p>
            <w:pPr>
              <w:pStyle w:val="27"/>
              <w:rPr>
                <w:rFonts w:hint="default" w:ascii="Times New Roman" w:hAnsi="Times New Roman" w:cs="Times New Roman"/>
                <w:color w:val="auto"/>
              </w:rPr>
            </w:pPr>
          </w:p>
        </w:tc>
        <w:tc>
          <w:tcPr>
            <w:tcW w:w="189"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员工</w:t>
            </w:r>
          </w:p>
        </w:tc>
        <w:tc>
          <w:tcPr>
            <w:tcW w:w="181" w:type="pct"/>
            <w:vMerge w:val="continue"/>
            <w:noWrap w:val="0"/>
            <w:vAlign w:val="center"/>
          </w:tcPr>
          <w:p>
            <w:pPr>
              <w:pStyle w:val="27"/>
              <w:rPr>
                <w:rFonts w:hint="default" w:ascii="Times New Roman" w:hAnsi="Times New Roman" w:cs="Times New Roman"/>
                <w:color w:val="auto"/>
              </w:rPr>
            </w:pPr>
          </w:p>
        </w:tc>
        <w:tc>
          <w:tcPr>
            <w:tcW w:w="257" w:type="pct"/>
            <w:noWrap w:val="0"/>
            <w:vAlign w:val="center"/>
          </w:tcPr>
          <w:p>
            <w:pPr>
              <w:pStyle w:val="27"/>
              <w:rPr>
                <w:rFonts w:hint="default" w:ascii="Times New Roman" w:hAnsi="Times New Roman" w:eastAsia="宋体" w:cs="Times New Roman"/>
                <w:color w:val="auto"/>
                <w:lang w:val="en-US" w:eastAsia="zh-CN"/>
              </w:rPr>
            </w:pPr>
            <w:r>
              <w:rPr>
                <w:rFonts w:hint="default" w:ascii="Times New Roman" w:hAnsi="Times New Roman" w:cs="Times New Roman"/>
                <w:color w:val="auto"/>
              </w:rPr>
              <w:t>生活垃圾</w:t>
            </w:r>
            <w:r>
              <w:rPr>
                <w:rFonts w:hint="default" w:ascii="Times New Roman" w:hAnsi="Times New Roman" w:cs="Times New Roman"/>
                <w:color w:val="auto"/>
                <w:lang w:val="en-US" w:eastAsia="zh-CN"/>
              </w:rPr>
              <w:t>S1</w:t>
            </w:r>
          </w:p>
        </w:tc>
        <w:tc>
          <w:tcPr>
            <w:tcW w:w="25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226"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09"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24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5" w:type="pct"/>
            <w:noWrap w:val="0"/>
            <w:vAlign w:val="center"/>
          </w:tcPr>
          <w:p>
            <w:pPr>
              <w:pStyle w:val="2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1.825</w:t>
            </w:r>
          </w:p>
        </w:tc>
        <w:tc>
          <w:tcPr>
            <w:tcW w:w="76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按照环卫部门要求统一处理</w:t>
            </w:r>
          </w:p>
        </w:tc>
        <w:tc>
          <w:tcPr>
            <w:tcW w:w="30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294"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1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0</w:t>
            </w:r>
          </w:p>
        </w:tc>
        <w:tc>
          <w:tcPr>
            <w:tcW w:w="27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79"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86"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87"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73" w:type="pct"/>
            <w:noWrap w:val="0"/>
            <w:vAlign w:val="center"/>
          </w:tcPr>
          <w:p>
            <w:pPr>
              <w:pStyle w:val="27"/>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合理处置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噪声</w:t>
            </w:r>
          </w:p>
        </w:tc>
        <w:tc>
          <w:tcPr>
            <w:tcW w:w="189" w:type="pct"/>
            <w:noWrap w:val="0"/>
            <w:vAlign w:val="center"/>
          </w:tcPr>
          <w:p>
            <w:pPr>
              <w:jc w:val="center"/>
              <w:rPr>
                <w:rFonts w:hint="default" w:ascii="Times New Roman" w:hAnsi="Times New Roman" w:cs="Times New Roman"/>
              </w:rPr>
            </w:pPr>
            <w:r>
              <w:rPr>
                <w:rFonts w:hint="default" w:ascii="Times New Roman" w:hAnsi="Times New Roman" w:cs="Times New Roman"/>
              </w:rPr>
              <w:t>/</w:t>
            </w:r>
          </w:p>
        </w:tc>
        <w:tc>
          <w:tcPr>
            <w:tcW w:w="181" w:type="pct"/>
            <w:noWrap w:val="0"/>
            <w:vAlign w:val="center"/>
          </w:tcPr>
          <w:p>
            <w:pPr>
              <w:jc w:val="center"/>
              <w:rPr>
                <w:rFonts w:hint="default" w:ascii="Times New Roman" w:hAnsi="Times New Roman" w:cs="Times New Roman"/>
              </w:rPr>
            </w:pPr>
            <w:r>
              <w:rPr>
                <w:rFonts w:hint="default" w:ascii="Times New Roman" w:hAnsi="Times New Roman" w:cs="Times New Roman"/>
              </w:rPr>
              <w:t>/</w:t>
            </w:r>
          </w:p>
        </w:tc>
        <w:tc>
          <w:tcPr>
            <w:tcW w:w="257" w:type="pct"/>
            <w:noWrap w:val="0"/>
            <w:vAlign w:val="center"/>
          </w:tcPr>
          <w:p>
            <w:pPr>
              <w:jc w:val="center"/>
              <w:rPr>
                <w:rFonts w:hint="default" w:ascii="Times New Roman" w:hAnsi="Times New Roman" w:cs="Times New Roman"/>
              </w:rPr>
            </w:pPr>
            <w:r>
              <w:rPr>
                <w:rFonts w:hint="default" w:ascii="Times New Roman" w:hAnsi="Times New Roman" w:cs="Times New Roman"/>
              </w:rPr>
              <w:t>/</w:t>
            </w:r>
          </w:p>
        </w:tc>
        <w:tc>
          <w:tcPr>
            <w:tcW w:w="252" w:type="pct"/>
            <w:noWrap w:val="0"/>
            <w:vAlign w:val="center"/>
          </w:tcPr>
          <w:p>
            <w:pPr>
              <w:jc w:val="center"/>
              <w:rPr>
                <w:rFonts w:hint="default" w:ascii="Times New Roman" w:hAnsi="Times New Roman" w:cs="Times New Roman"/>
              </w:rPr>
            </w:pPr>
            <w:r>
              <w:rPr>
                <w:rFonts w:hint="default" w:ascii="Times New Roman" w:hAnsi="Times New Roman" w:cs="Times New Roman"/>
              </w:rPr>
              <w:t>/</w:t>
            </w:r>
          </w:p>
        </w:tc>
        <w:tc>
          <w:tcPr>
            <w:tcW w:w="226"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872" w:type="pct"/>
            <w:gridSpan w:val="3"/>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70-90dB(A)</w:t>
            </w:r>
          </w:p>
        </w:tc>
        <w:tc>
          <w:tcPr>
            <w:tcW w:w="760"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墙体隔声+基础减震</w:t>
            </w:r>
          </w:p>
        </w:tc>
        <w:tc>
          <w:tcPr>
            <w:tcW w:w="905" w:type="pct"/>
            <w:gridSpan w:val="3"/>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昼：＜60dB(A)</w:t>
            </w:r>
          </w:p>
          <w:p>
            <w:pPr>
              <w:pStyle w:val="27"/>
              <w:rPr>
                <w:rFonts w:hint="default" w:ascii="Times New Roman" w:hAnsi="Times New Roman" w:cs="Times New Roman"/>
                <w:color w:val="auto"/>
              </w:rPr>
            </w:pPr>
            <w:r>
              <w:rPr>
                <w:rFonts w:hint="default" w:ascii="Times New Roman" w:hAnsi="Times New Roman" w:cs="Times New Roman"/>
                <w:color w:val="auto"/>
              </w:rPr>
              <w:t>夜：＜50dB(A)</w:t>
            </w:r>
          </w:p>
        </w:tc>
        <w:tc>
          <w:tcPr>
            <w:tcW w:w="272"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179"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w:t>
            </w:r>
          </w:p>
        </w:tc>
        <w:tc>
          <w:tcPr>
            <w:tcW w:w="373" w:type="pct"/>
            <w:gridSpan w:val="2"/>
            <w:noWrap w:val="0"/>
            <w:vAlign w:val="center"/>
          </w:tcPr>
          <w:p>
            <w:pPr>
              <w:pStyle w:val="27"/>
              <w:rPr>
                <w:rFonts w:hint="default" w:ascii="Times New Roman" w:hAnsi="Times New Roman" w:cs="Times New Roman"/>
                <w:color w:val="auto"/>
              </w:rPr>
            </w:pPr>
            <w:r>
              <w:rPr>
                <w:rFonts w:hint="default" w:ascii="Times New Roman" w:hAnsi="Times New Roman" w:cs="Times New Roman"/>
                <w:color w:val="auto"/>
              </w:rPr>
              <w:t>昼：＜60dB(A)</w:t>
            </w:r>
          </w:p>
          <w:p>
            <w:pPr>
              <w:pStyle w:val="27"/>
              <w:rPr>
                <w:rFonts w:hint="default" w:ascii="Times New Roman" w:hAnsi="Times New Roman" w:cs="Times New Roman"/>
                <w:color w:val="auto"/>
              </w:rPr>
            </w:pPr>
            <w:r>
              <w:rPr>
                <w:rFonts w:hint="default" w:ascii="Times New Roman" w:hAnsi="Times New Roman" w:cs="Times New Roman"/>
                <w:color w:val="auto"/>
              </w:rPr>
              <w:t>夜：＜50dB(A)</w:t>
            </w:r>
          </w:p>
        </w:tc>
        <w:tc>
          <w:tcPr>
            <w:tcW w:w="373" w:type="pct"/>
            <w:noWrap w:val="0"/>
            <w:vAlign w:val="center"/>
          </w:tcPr>
          <w:p>
            <w:pPr>
              <w:pStyle w:val="27"/>
              <w:rPr>
                <w:rFonts w:hint="default" w:ascii="Times New Roman" w:hAnsi="Times New Roman" w:cs="Times New Roman"/>
                <w:color w:val="auto"/>
              </w:rPr>
            </w:pPr>
            <w:r>
              <w:rPr>
                <w:rFonts w:hint="default" w:ascii="Times New Roman" w:hAnsi="Times New Roman" w:cs="Times New Roman"/>
                <w:szCs w:val="21"/>
              </w:rPr>
              <w:t>《工业企业厂界环境噪声排放标准》(GB12348-2008)2类标准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3" w:type="pct"/>
            <w:noWrap w:val="0"/>
            <w:vAlign w:val="center"/>
          </w:tcPr>
          <w:p>
            <w:pPr>
              <w:pStyle w:val="27"/>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其他</w:t>
            </w:r>
          </w:p>
        </w:tc>
        <w:tc>
          <w:tcPr>
            <w:tcW w:w="628" w:type="pct"/>
            <w:gridSpan w:val="3"/>
            <w:noWrap w:val="0"/>
            <w:vAlign w:val="center"/>
          </w:tcPr>
          <w:p>
            <w:pPr>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总量指标</w:t>
            </w:r>
          </w:p>
        </w:tc>
        <w:tc>
          <w:tcPr>
            <w:tcW w:w="4218" w:type="pct"/>
            <w:gridSpan w:val="14"/>
            <w:noWrap w:val="0"/>
            <w:vAlign w:val="center"/>
          </w:tcPr>
          <w:p>
            <w:pPr>
              <w:pStyle w:val="27"/>
              <w:rPr>
                <w:rFonts w:hint="default" w:ascii="Times New Roman" w:hAnsi="Times New Roman" w:cs="Times New Roman" w:eastAsiaTheme="minorEastAsia"/>
                <w:szCs w:val="21"/>
                <w:lang w:val="en-US" w:eastAsia="zh-CN"/>
              </w:rPr>
            </w:pPr>
            <w:r>
              <w:rPr>
                <w:rFonts w:hint="eastAsia" w:ascii="Times New Roman" w:hAnsi="Times New Roman" w:cs="Times New Roman"/>
                <w:szCs w:val="21"/>
                <w:highlight w:val="none"/>
                <w:lang w:val="en-US" w:eastAsia="zh-CN"/>
              </w:rPr>
              <w:t>VOCs：0.0091t/a；COD：0.1t/a；氨</w:t>
            </w:r>
            <w:r>
              <w:rPr>
                <w:rFonts w:hint="eastAsia" w:ascii="Times New Roman" w:hAnsi="Times New Roman" w:cs="Times New Roman"/>
                <w:szCs w:val="21"/>
                <w:lang w:val="en-US" w:eastAsia="zh-CN"/>
              </w:rPr>
              <w:t>氮：0.0021t/a</w:t>
            </w:r>
          </w:p>
        </w:tc>
      </w:tr>
    </w:tbl>
    <w:p>
      <w:pPr>
        <w:bidi w:val="0"/>
      </w:pPr>
    </w:p>
    <w:p>
      <w:pPr>
        <w:pStyle w:val="2"/>
        <w:spacing w:line="360" w:lineRule="auto"/>
        <w:rPr>
          <w:sz w:val="24"/>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
        <w:spacing w:before="0" w:after="0" w:line="360" w:lineRule="auto"/>
        <w:rPr>
          <w:rFonts w:hint="eastAsia" w:ascii="Times New Roman" w:hAnsi="Times New Roman" w:eastAsia="宋体"/>
          <w:sz w:val="30"/>
          <w:szCs w:val="30"/>
        </w:rPr>
      </w:pPr>
      <w:bookmarkStart w:id="282" w:name="_Toc17426"/>
      <w:bookmarkStart w:id="283" w:name="_Toc3813"/>
      <w:r>
        <w:rPr>
          <w:rFonts w:hint="eastAsia" w:ascii="Times New Roman" w:hAnsi="Times New Roman" w:eastAsia="宋体"/>
          <w:sz w:val="30"/>
          <w:szCs w:val="30"/>
        </w:rPr>
        <w:t>8</w:t>
      </w:r>
      <w:r>
        <w:rPr>
          <w:rFonts w:ascii="Times New Roman" w:hAnsi="Times New Roman" w:eastAsia="宋体"/>
          <w:sz w:val="30"/>
          <w:szCs w:val="30"/>
        </w:rPr>
        <w:t>.</w:t>
      </w:r>
      <w:r>
        <w:rPr>
          <w:rFonts w:hint="eastAsia" w:ascii="Times New Roman" w:hAnsi="Times New Roman" w:eastAsia="宋体"/>
          <w:sz w:val="30"/>
          <w:szCs w:val="30"/>
        </w:rPr>
        <w:t>5“三同时”验收</w:t>
      </w:r>
      <w:bookmarkEnd w:id="282"/>
      <w:bookmarkEnd w:id="283"/>
    </w:p>
    <w:p>
      <w:pPr>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color w:val="000000"/>
          <w:sz w:val="24"/>
          <w:szCs w:val="24"/>
        </w:rPr>
        <w:t>根据《建设项目环境保护管理条例》和《建设项目竣工环境保护验收管理办法》的规定，本工程必须贯彻“三同时”原则，污染治理措施必须做到与主体工程同时设计、同时施工、同时投入运行，并作为环保验收内容。本工程“三同时”环保验收内容见表8.5-1。</w:t>
      </w:r>
    </w:p>
    <w:p>
      <w:pPr>
        <w:widowControl/>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表8.5-1 “三同时”环保验收一览表</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05"/>
        <w:gridCol w:w="875"/>
        <w:gridCol w:w="3496"/>
        <w:gridCol w:w="36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9" w:hRule="atLeast"/>
          <w:tblHeader/>
          <w:jc w:val="center"/>
        </w:trPr>
        <w:tc>
          <w:tcPr>
            <w:tcW w:w="0" w:type="auto"/>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污染防治项目</w:t>
            </w:r>
          </w:p>
        </w:tc>
        <w:tc>
          <w:tcPr>
            <w:tcW w:w="0" w:type="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治理设施</w:t>
            </w:r>
          </w:p>
        </w:tc>
        <w:tc>
          <w:tcPr>
            <w:tcW w:w="0" w:type="auto"/>
            <w:noWrap w:val="0"/>
            <w:vAlign w:val="top"/>
          </w:tcPr>
          <w:p>
            <w:pPr>
              <w:jc w:val="center"/>
              <w:rPr>
                <w:rFonts w:hint="default" w:ascii="Times New Roman" w:hAnsi="Times New Roman" w:cs="Times New Roman"/>
                <w:szCs w:val="21"/>
              </w:rPr>
            </w:pPr>
            <w:r>
              <w:rPr>
                <w:rFonts w:hint="default" w:ascii="Times New Roman" w:hAnsi="Times New Roman" w:cs="Times New Roman"/>
                <w:szCs w:val="21"/>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531" w:hRule="atLeast"/>
          <w:jc w:val="center"/>
        </w:trPr>
        <w:tc>
          <w:tcPr>
            <w:tcW w:w="0" w:type="auto"/>
            <w:vMerge w:val="restart"/>
            <w:noWrap w:val="0"/>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废气</w:t>
            </w:r>
          </w:p>
        </w:tc>
        <w:tc>
          <w:tcPr>
            <w:tcW w:w="0" w:type="auto"/>
            <w:noWrap w:val="0"/>
            <w:vAlign w:val="center"/>
          </w:tcPr>
          <w:p>
            <w:pPr>
              <w:jc w:val="center"/>
              <w:rPr>
                <w:rFonts w:hint="default" w:ascii="Times New Roman" w:hAnsi="Times New Roman" w:cs="Times New Roman"/>
                <w:szCs w:val="21"/>
              </w:rPr>
            </w:pPr>
            <w:r>
              <w:rPr>
                <w:rFonts w:hint="default" w:ascii="Times New Roman" w:hAnsi="Times New Roman" w:cs="Times New Roman"/>
                <w:kern w:val="0"/>
                <w:szCs w:val="21"/>
              </w:rPr>
              <w:t>医废处理车间有组织废气（G1）</w:t>
            </w:r>
          </w:p>
        </w:tc>
        <w:tc>
          <w:tcPr>
            <w:tcW w:w="0" w:type="auto"/>
            <w:noWrap w:val="0"/>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lang w:val="en-US" w:eastAsia="zh-CN"/>
              </w:rPr>
              <w:t>收集效率取98%，喷淋塔除尘效率75%，UV光催化氧化对NMHC及恶臭去除率60%，活性炭吸附效率90%，</w:t>
            </w:r>
            <w:r>
              <w:rPr>
                <w:rFonts w:hint="default" w:ascii="Times New Roman" w:hAnsi="Times New Roman" w:cs="Times New Roman"/>
                <w:color w:val="000000"/>
                <w:kern w:val="0"/>
                <w:szCs w:val="21"/>
              </w:rPr>
              <w:t>处理后</w:t>
            </w:r>
            <w:r>
              <w:rPr>
                <w:rFonts w:hint="default" w:ascii="Times New Roman" w:hAnsi="Times New Roman" w:cs="Times New Roman"/>
                <w:color w:val="000000"/>
                <w:kern w:val="0"/>
                <w:szCs w:val="21"/>
                <w:lang w:val="en-US" w:eastAsia="zh-CN"/>
              </w:rPr>
              <w:t>废气</w:t>
            </w:r>
            <w:r>
              <w:rPr>
                <w:rFonts w:hint="default" w:ascii="Times New Roman" w:hAnsi="Times New Roman" w:cs="Times New Roman"/>
                <w:color w:val="000000"/>
                <w:kern w:val="0"/>
                <w:szCs w:val="21"/>
              </w:rPr>
              <w:t>经1根15m高排气筒排放</w:t>
            </w:r>
          </w:p>
        </w:tc>
        <w:tc>
          <w:tcPr>
            <w:tcW w:w="0" w:type="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非甲烷总烃排放浓度可满足《医疗废物处理处置污染控制标准》（GB39707--2020）表3中20mg/m</w:t>
            </w:r>
            <w:r>
              <w:rPr>
                <w:rFonts w:hint="default" w:ascii="Times New Roman" w:hAnsi="Times New Roman" w:cs="Times New Roman"/>
                <w:szCs w:val="21"/>
                <w:vertAlign w:val="superscript"/>
              </w:rPr>
              <w:t>3</w:t>
            </w:r>
            <w:r>
              <w:rPr>
                <w:rFonts w:hint="default" w:ascii="Times New Roman" w:hAnsi="Times New Roman" w:cs="Times New Roman"/>
                <w:szCs w:val="21"/>
              </w:rPr>
              <w:t>排放限值要求，NH</w:t>
            </w:r>
            <w:r>
              <w:rPr>
                <w:rFonts w:hint="default" w:ascii="Times New Roman" w:hAnsi="Times New Roman" w:cs="Times New Roman"/>
                <w:szCs w:val="21"/>
                <w:vertAlign w:val="subscript"/>
              </w:rPr>
              <w:t>3</w:t>
            </w:r>
            <w:r>
              <w:rPr>
                <w:rFonts w:hint="default" w:ascii="Times New Roman" w:hAnsi="Times New Roman" w:cs="Times New Roman"/>
                <w:szCs w:val="21"/>
              </w:rPr>
              <w:t>、H</w:t>
            </w:r>
            <w:r>
              <w:rPr>
                <w:rFonts w:hint="default" w:ascii="Times New Roman" w:hAnsi="Times New Roman" w:cs="Times New Roman"/>
                <w:szCs w:val="21"/>
                <w:vertAlign w:val="subscript"/>
              </w:rPr>
              <w:t>2</w:t>
            </w:r>
            <w:r>
              <w:rPr>
                <w:rFonts w:hint="default" w:ascii="Times New Roman" w:hAnsi="Times New Roman" w:cs="Times New Roman"/>
                <w:szCs w:val="21"/>
              </w:rPr>
              <w:t>S、臭气浓度排放可满足《恶臭污染物排放标准》（GB14554-93）表2中排放标准值；颗粒物可以满足表 2 中二级排放限值120mg/m</w:t>
            </w:r>
            <w:r>
              <w:rPr>
                <w:rFonts w:hint="default" w:ascii="Times New Roman" w:hAnsi="Times New Roman" w:cs="Times New Roman"/>
                <w:szCs w:val="21"/>
                <w:vertAlign w:val="superscript"/>
              </w:rPr>
              <w:t>3</w:t>
            </w:r>
            <w:r>
              <w:rPr>
                <w:rFonts w:hint="default" w:ascii="Times New Roman" w:hAnsi="Times New Roman" w:cs="Times New Roman"/>
                <w:szCs w:val="21"/>
              </w:rPr>
              <w:t>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9" w:hRule="atLeast"/>
          <w:jc w:val="center"/>
        </w:trPr>
        <w:tc>
          <w:tcPr>
            <w:tcW w:w="0" w:type="auto"/>
            <w:vMerge w:val="continue"/>
            <w:noWrap w:val="0"/>
            <w:vAlign w:val="center"/>
          </w:tcPr>
          <w:p>
            <w:pPr>
              <w:spacing w:line="240" w:lineRule="atLeast"/>
              <w:jc w:val="center"/>
              <w:rPr>
                <w:rFonts w:hint="default" w:ascii="Times New Roman" w:hAnsi="Times New Roman" w:cs="Times New Roman"/>
                <w:szCs w:val="21"/>
              </w:rPr>
            </w:pPr>
          </w:p>
        </w:tc>
        <w:tc>
          <w:tcPr>
            <w:tcW w:w="0" w:type="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医废处理车间无组织废气（G2）</w:t>
            </w:r>
          </w:p>
        </w:tc>
        <w:tc>
          <w:tcPr>
            <w:tcW w:w="0" w:type="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医废处理车间微负压，</w:t>
            </w:r>
            <w:r>
              <w:rPr>
                <w:rFonts w:hint="eastAsia" w:ascii="Times New Roman" w:hAnsi="Times New Roman" w:cs="Times New Roman"/>
                <w:kern w:val="0"/>
                <w:szCs w:val="21"/>
                <w:lang w:val="en-US" w:eastAsia="zh-CN"/>
              </w:rPr>
              <w:t>设有集气罩，</w:t>
            </w:r>
            <w:r>
              <w:rPr>
                <w:rFonts w:hint="default" w:ascii="Times New Roman" w:hAnsi="Times New Roman" w:cs="Times New Roman"/>
                <w:kern w:val="0"/>
                <w:szCs w:val="21"/>
              </w:rPr>
              <w:t>无组织废气排放量极小</w:t>
            </w:r>
          </w:p>
        </w:tc>
        <w:tc>
          <w:tcPr>
            <w:tcW w:w="0" w:type="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氨、硫化氢、臭气浓度厂界无组织限值满足</w:t>
            </w:r>
            <w:r>
              <w:rPr>
                <w:rFonts w:hint="default" w:ascii="Times New Roman" w:hAnsi="Times New Roman" w:cs="Times New Roman"/>
                <w:color w:val="000000"/>
                <w:szCs w:val="21"/>
              </w:rPr>
              <w:t>《恶臭污染物排放标准》(GB14554-93)二级新扩改建中氨1.5</w:t>
            </w:r>
            <w:r>
              <w:rPr>
                <w:rFonts w:hint="default" w:ascii="Times New Roman" w:hAnsi="Times New Roman" w:cs="Times New Roman"/>
                <w:szCs w:val="21"/>
              </w:rPr>
              <w:t>mg/</w:t>
            </w:r>
            <w:r>
              <w:rPr>
                <w:rFonts w:hint="default" w:ascii="Times New Roman" w:hAnsi="Times New Roman" w:cs="Times New Roman"/>
                <w:bCs/>
                <w:iCs/>
                <w:szCs w:val="21"/>
              </w:rPr>
              <w:t>m</w:t>
            </w:r>
            <w:r>
              <w:rPr>
                <w:rFonts w:hint="default" w:ascii="Times New Roman" w:hAnsi="Times New Roman" w:cs="Times New Roman"/>
                <w:bCs/>
                <w:iCs/>
                <w:szCs w:val="21"/>
                <w:vertAlign w:val="superscript"/>
              </w:rPr>
              <w:t>3</w:t>
            </w:r>
            <w:r>
              <w:rPr>
                <w:rFonts w:hint="default" w:ascii="Times New Roman" w:hAnsi="Times New Roman" w:cs="Times New Roman"/>
                <w:color w:val="000000"/>
                <w:szCs w:val="21"/>
              </w:rPr>
              <w:t>、硫化氢0.06</w:t>
            </w:r>
            <w:r>
              <w:rPr>
                <w:rFonts w:hint="default" w:ascii="Times New Roman" w:hAnsi="Times New Roman" w:cs="Times New Roman"/>
                <w:szCs w:val="21"/>
              </w:rPr>
              <w:t>mg/</w:t>
            </w:r>
            <w:r>
              <w:rPr>
                <w:rFonts w:hint="default" w:ascii="Times New Roman" w:hAnsi="Times New Roman" w:cs="Times New Roman"/>
                <w:bCs/>
                <w:iCs/>
                <w:szCs w:val="21"/>
              </w:rPr>
              <w:t>m</w:t>
            </w:r>
            <w:r>
              <w:rPr>
                <w:rFonts w:hint="default" w:ascii="Times New Roman" w:hAnsi="Times New Roman" w:cs="Times New Roman"/>
                <w:bCs/>
                <w:iCs/>
                <w:szCs w:val="21"/>
                <w:vertAlign w:val="superscript"/>
              </w:rPr>
              <w:t>3</w:t>
            </w:r>
            <w:r>
              <w:rPr>
                <w:rFonts w:hint="default" w:ascii="Times New Roman" w:hAnsi="Times New Roman" w:cs="Times New Roman"/>
                <w:color w:val="000000"/>
                <w:szCs w:val="21"/>
              </w:rPr>
              <w:t>、臭气浓度20（无量纲）标准限值；颗粒物满足《大气污染物综合排放标准》(GB16297－1996)中1.0</w:t>
            </w:r>
            <w:r>
              <w:rPr>
                <w:rFonts w:hint="default" w:ascii="Times New Roman" w:hAnsi="Times New Roman" w:cs="Times New Roman"/>
                <w:szCs w:val="21"/>
              </w:rPr>
              <w:t>mg/</w:t>
            </w:r>
            <w:r>
              <w:rPr>
                <w:rFonts w:hint="default" w:ascii="Times New Roman" w:hAnsi="Times New Roman" w:cs="Times New Roman"/>
                <w:bCs/>
                <w:iCs/>
                <w:szCs w:val="21"/>
              </w:rPr>
              <w:t>m</w:t>
            </w:r>
            <w:r>
              <w:rPr>
                <w:rFonts w:hint="default" w:ascii="Times New Roman" w:hAnsi="Times New Roman" w:cs="Times New Roman"/>
                <w:bCs/>
                <w:iCs/>
                <w:szCs w:val="21"/>
                <w:vertAlign w:val="superscript"/>
              </w:rPr>
              <w:t>3</w:t>
            </w:r>
            <w:r>
              <w:rPr>
                <w:rFonts w:hint="default" w:ascii="Times New Roman" w:hAnsi="Times New Roman" w:cs="Times New Roman"/>
                <w:color w:val="000000"/>
                <w:szCs w:val="21"/>
              </w:rPr>
              <w:t>标准限值；非甲烷总烃周界外无组织浓度最高点满足《大气污染物综合排放标准》(GB16297－1996)表2新污染源大气污染物排放限值4.0</w:t>
            </w:r>
            <w:r>
              <w:rPr>
                <w:rFonts w:hint="default" w:ascii="Times New Roman" w:hAnsi="Times New Roman" w:cs="Times New Roman"/>
                <w:szCs w:val="21"/>
              </w:rPr>
              <w:t>mg/</w:t>
            </w:r>
            <w:r>
              <w:rPr>
                <w:rFonts w:hint="default" w:ascii="Times New Roman" w:hAnsi="Times New Roman" w:cs="Times New Roman"/>
                <w:bCs/>
                <w:iCs/>
                <w:szCs w:val="21"/>
              </w:rPr>
              <w:t>m</w:t>
            </w:r>
            <w:r>
              <w:rPr>
                <w:rFonts w:hint="default" w:ascii="Times New Roman" w:hAnsi="Times New Roman" w:cs="Times New Roman"/>
                <w:bCs/>
                <w:iCs/>
                <w:szCs w:val="21"/>
                <w:vertAlign w:val="superscript"/>
              </w:rPr>
              <w:t>3</w:t>
            </w:r>
            <w:r>
              <w:rPr>
                <w:rFonts w:hint="default" w:ascii="Times New Roman" w:hAnsi="Times New Roman" w:cs="Times New Roman"/>
                <w:color w:val="000000"/>
                <w:szCs w:val="21"/>
              </w:rPr>
              <w:t>，</w:t>
            </w:r>
            <w:r>
              <w:rPr>
                <w:rFonts w:hint="default" w:ascii="Times New Roman" w:hAnsi="Times New Roman" w:cs="Times New Roman"/>
                <w:kern w:val="0"/>
                <w:szCs w:val="21"/>
              </w:rPr>
              <w:t>非甲烷总烃厂房外监控点1h平均浓度值执行《挥发性有机物无组织排放控制标准（GB37822-2019）中限值10</w:t>
            </w:r>
            <w:r>
              <w:rPr>
                <w:rFonts w:hint="default" w:ascii="Times New Roman" w:hAnsi="Times New Roman" w:cs="Times New Roman"/>
                <w:szCs w:val="21"/>
              </w:rPr>
              <w:t>mg/</w:t>
            </w:r>
            <w:r>
              <w:rPr>
                <w:rFonts w:hint="default" w:ascii="Times New Roman" w:hAnsi="Times New Roman" w:cs="Times New Roman"/>
                <w:bCs/>
                <w:iCs/>
                <w:szCs w:val="21"/>
              </w:rPr>
              <w:t>m</w:t>
            </w:r>
            <w:r>
              <w:rPr>
                <w:rFonts w:hint="default" w:ascii="Times New Roman" w:hAnsi="Times New Roman" w:cs="Times New Roman"/>
                <w:bCs/>
                <w:iCs/>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585" w:hRule="atLeast"/>
          <w:jc w:val="center"/>
        </w:trPr>
        <w:tc>
          <w:tcPr>
            <w:tcW w:w="0" w:type="auto"/>
            <w:vMerge w:val="restart"/>
            <w:noWrap w:val="0"/>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废水</w:t>
            </w:r>
          </w:p>
        </w:tc>
        <w:tc>
          <w:tcPr>
            <w:tcW w:w="0" w:type="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生产废水</w:t>
            </w:r>
          </w:p>
        </w:tc>
        <w:tc>
          <w:tcPr>
            <w:tcW w:w="0" w:type="auto"/>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bCs/>
                <w:iCs/>
                <w:color w:val="auto"/>
                <w:szCs w:val="21"/>
              </w:rPr>
              <w:t>处理车间内拟建一套一体化污水处理设施，主体处理工艺为“</w:t>
            </w:r>
            <w:r>
              <w:rPr>
                <w:rFonts w:hint="default" w:ascii="Times New Roman" w:hAnsi="Times New Roman" w:cs="Times New Roman"/>
                <w:color w:val="000000"/>
                <w:sz w:val="21"/>
                <w:szCs w:val="21"/>
                <w:lang w:val="en-US" w:eastAsia="zh-CN"/>
              </w:rPr>
              <w:t>格栅+</w:t>
            </w:r>
            <w:r>
              <w:rPr>
                <w:rFonts w:hint="default" w:ascii="Times New Roman" w:hAnsi="Times New Roman" w:cs="Times New Roman"/>
                <w:color w:val="000000"/>
                <w:sz w:val="21"/>
                <w:szCs w:val="21"/>
              </w:rPr>
              <w:t>调节池+</w:t>
            </w:r>
            <w:r>
              <w:rPr>
                <w:rFonts w:hint="default" w:ascii="Times New Roman" w:hAnsi="Times New Roman" w:cs="Times New Roman"/>
                <w:color w:val="000000"/>
                <w:sz w:val="21"/>
                <w:szCs w:val="21"/>
                <w:lang w:val="en-US" w:eastAsia="zh-CN"/>
              </w:rPr>
              <w:t>A</w:t>
            </w:r>
            <w:r>
              <w:rPr>
                <w:rFonts w:hint="default" w:ascii="Times New Roman" w:hAnsi="Times New Roman" w:cs="Times New Roman"/>
                <w:color w:val="000000"/>
                <w:sz w:val="21"/>
                <w:szCs w:val="21"/>
                <w:vertAlign w:val="subscript"/>
                <w:lang w:val="en-US" w:eastAsia="zh-CN"/>
              </w:rPr>
              <w:t>2</w:t>
            </w:r>
            <w:r>
              <w:rPr>
                <w:rFonts w:hint="default" w:ascii="Times New Roman" w:hAnsi="Times New Roman" w:cs="Times New Roman"/>
                <w:color w:val="000000"/>
                <w:sz w:val="21"/>
                <w:szCs w:val="21"/>
                <w:lang w:val="en-US" w:eastAsia="zh-CN"/>
              </w:rPr>
              <w:t>O+</w:t>
            </w:r>
            <w:r>
              <w:rPr>
                <w:rFonts w:hint="default" w:ascii="Times New Roman" w:hAnsi="Times New Roman" w:cs="Times New Roman"/>
                <w:color w:val="000000"/>
                <w:sz w:val="21"/>
                <w:szCs w:val="21"/>
              </w:rPr>
              <w:t>MBR 膜生物反应+消毒</w:t>
            </w:r>
            <w:r>
              <w:rPr>
                <w:rFonts w:hint="default" w:ascii="Times New Roman" w:hAnsi="Times New Roman" w:cs="Times New Roman"/>
                <w:bCs/>
                <w:iCs/>
                <w:color w:val="auto"/>
                <w:szCs w:val="21"/>
              </w:rPr>
              <w:t>”，设计废水处理量为</w:t>
            </w:r>
            <w:r>
              <w:rPr>
                <w:rFonts w:hint="default" w:ascii="Times New Roman" w:hAnsi="Times New Roman" w:cs="Times New Roman"/>
                <w:bCs/>
                <w:iCs/>
                <w:color w:val="auto"/>
                <w:szCs w:val="21"/>
                <w:lang w:val="en-US" w:eastAsia="zh-CN"/>
              </w:rPr>
              <w:t>5</w:t>
            </w:r>
            <w:r>
              <w:rPr>
                <w:rFonts w:hint="default" w:ascii="Times New Roman" w:hAnsi="Times New Roman" w:cs="Times New Roman"/>
                <w:bCs/>
                <w:iCs/>
                <w:color w:val="auto"/>
                <w:szCs w:val="21"/>
              </w:rPr>
              <w:t>m</w:t>
            </w:r>
            <w:r>
              <w:rPr>
                <w:rFonts w:hint="default" w:ascii="Times New Roman" w:hAnsi="Times New Roman" w:cs="Times New Roman"/>
                <w:bCs/>
                <w:iCs/>
                <w:color w:val="auto"/>
                <w:szCs w:val="21"/>
                <w:vertAlign w:val="superscript"/>
              </w:rPr>
              <w:t>3</w:t>
            </w:r>
            <w:r>
              <w:rPr>
                <w:rFonts w:hint="default" w:ascii="Times New Roman" w:hAnsi="Times New Roman" w:cs="Times New Roman"/>
                <w:bCs/>
                <w:iCs/>
                <w:color w:val="auto"/>
                <w:szCs w:val="21"/>
              </w:rPr>
              <w:t>/d</w:t>
            </w:r>
          </w:p>
        </w:tc>
        <w:tc>
          <w:tcPr>
            <w:tcW w:w="0" w:type="auto"/>
            <w:noWrap w:val="0"/>
            <w:vAlign w:val="top"/>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bCs/>
                <w:iCs/>
                <w:color w:val="auto"/>
                <w:szCs w:val="21"/>
              </w:rPr>
              <w:t>出水水质可满足《医疗机构水污染物排放标准》(GB18466-2005)表2中限值</w:t>
            </w:r>
            <w:r>
              <w:rPr>
                <w:rFonts w:hint="eastAsia" w:ascii="Times New Roman" w:hAnsi="Times New Roman" w:cs="Times New Roman"/>
                <w:bCs/>
                <w:iCs/>
                <w:color w:val="auto"/>
                <w:szCs w:val="21"/>
                <w:lang w:eastAsia="zh-CN"/>
              </w:rPr>
              <w:t>、</w:t>
            </w:r>
            <w:r>
              <w:rPr>
                <w:rFonts w:hint="default" w:ascii="Times New Roman" w:hAnsi="Times New Roman" w:cs="Times New Roman"/>
                <w:color w:val="auto"/>
              </w:rPr>
              <w:t>《城市污水再生利用 城市杂用水水质》(GB/T 18920-2020)中</w:t>
            </w:r>
            <w:r>
              <w:rPr>
                <w:rFonts w:hint="eastAsia" w:ascii="Times New Roman" w:hAnsi="Times New Roman" w:cs="Times New Roman"/>
                <w:color w:val="auto"/>
                <w:lang w:val="en-US" w:eastAsia="zh-CN"/>
              </w:rPr>
              <w:t>绿化用水</w:t>
            </w:r>
            <w:r>
              <w:rPr>
                <w:rFonts w:hint="default" w:ascii="Times New Roman" w:hAnsi="Times New Roman" w:cs="Times New Roman"/>
                <w:color w:val="auto"/>
              </w:rPr>
              <w:t>水质标准值</w:t>
            </w:r>
            <w:r>
              <w:rPr>
                <w:rFonts w:hint="eastAsia" w:ascii="Times New Roman" w:hAnsi="Times New Roman" w:cs="Times New Roman"/>
                <w:color w:val="auto"/>
                <w:lang w:val="en-US" w:eastAsia="zh-CN"/>
              </w:rPr>
              <w:t>及突泉县突泉镇清源污水处理厂进水标准；非供暖季废水回用绿化不外排，供暖季废水经罐车拉运至污水处理厂处理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54" w:hRule="atLeast"/>
          <w:jc w:val="center"/>
        </w:trPr>
        <w:tc>
          <w:tcPr>
            <w:tcW w:w="0" w:type="auto"/>
            <w:vMerge w:val="continue"/>
            <w:noWrap w:val="0"/>
            <w:vAlign w:val="center"/>
          </w:tcPr>
          <w:p>
            <w:pPr>
              <w:jc w:val="center"/>
              <w:rPr>
                <w:rFonts w:hint="default" w:ascii="Times New Roman" w:hAnsi="Times New Roman" w:cs="Times New Roman"/>
                <w:szCs w:val="21"/>
              </w:rPr>
            </w:pPr>
          </w:p>
        </w:tc>
        <w:tc>
          <w:tcPr>
            <w:tcW w:w="0" w:type="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生活污水</w:t>
            </w:r>
          </w:p>
        </w:tc>
        <w:tc>
          <w:tcPr>
            <w:tcW w:w="0" w:type="auto"/>
            <w:noWrap w:val="0"/>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kern w:val="0"/>
                <w:szCs w:val="21"/>
              </w:rPr>
              <w:t>生活污水</w:t>
            </w:r>
            <w:r>
              <w:rPr>
                <w:rFonts w:hint="default" w:ascii="Times New Roman" w:hAnsi="Times New Roman" w:cs="Times New Roman"/>
                <w:color w:val="auto"/>
                <w:kern w:val="0"/>
                <w:szCs w:val="21"/>
                <w:lang w:eastAsia="zh-CN"/>
              </w:rPr>
              <w:t>排入本项目</w:t>
            </w:r>
            <w:r>
              <w:rPr>
                <w:rFonts w:hint="default" w:ascii="Times New Roman" w:hAnsi="Times New Roman" w:cs="Times New Roman"/>
                <w:color w:val="auto"/>
                <w:kern w:val="0"/>
                <w:szCs w:val="21"/>
              </w:rPr>
              <w:t>新建防渗化粪池后</w:t>
            </w:r>
            <w:r>
              <w:rPr>
                <w:rFonts w:hint="eastAsia" w:ascii="Times New Roman" w:hAnsi="Times New Roman" w:cs="Times New Roman"/>
                <w:color w:val="auto"/>
                <w:kern w:val="0"/>
                <w:szCs w:val="21"/>
                <w:lang w:val="en-US" w:eastAsia="zh-CN"/>
              </w:rPr>
              <w:t>吸污车清运至污水处理厂</w:t>
            </w:r>
          </w:p>
        </w:tc>
        <w:tc>
          <w:tcPr>
            <w:tcW w:w="0" w:type="auto"/>
            <w:noWrap w:val="0"/>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bCs/>
                <w:iCs/>
                <w:color w:val="auto"/>
                <w:szCs w:val="21"/>
              </w:rPr>
              <w:t>出水水质可满足</w:t>
            </w:r>
            <w:r>
              <w:rPr>
                <w:rFonts w:hint="eastAsia" w:ascii="Times New Roman" w:hAnsi="Times New Roman" w:cs="Times New Roman"/>
                <w:color w:val="auto"/>
                <w:lang w:val="en-US" w:eastAsia="zh-CN"/>
              </w:rPr>
              <w:t>突泉县突泉镇清源污水处理厂进水标准；</w:t>
            </w:r>
            <w:r>
              <w:rPr>
                <w:rFonts w:hint="eastAsia" w:ascii="Times New Roman" w:hAnsi="Times New Roman" w:cs="Times New Roman"/>
                <w:color w:val="auto"/>
                <w:kern w:val="0"/>
                <w:szCs w:val="21"/>
                <w:lang w:val="en-US" w:eastAsia="zh-CN"/>
              </w:rPr>
              <w:t>吸污车清运至污水处理厂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0" w:type="auto"/>
            <w:noWrap w:val="0"/>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噪声</w:t>
            </w:r>
          </w:p>
        </w:tc>
        <w:tc>
          <w:tcPr>
            <w:tcW w:w="0" w:type="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设备噪声</w:t>
            </w:r>
          </w:p>
        </w:tc>
        <w:tc>
          <w:tcPr>
            <w:tcW w:w="0" w:type="auto"/>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eastAsia="zh-CN"/>
              </w:rPr>
              <w:t>封闭隔声、</w:t>
            </w:r>
            <w:r>
              <w:rPr>
                <w:rFonts w:hint="default" w:ascii="Times New Roman" w:hAnsi="Times New Roman" w:cs="Times New Roman"/>
                <w:color w:val="auto"/>
                <w:kern w:val="0"/>
                <w:szCs w:val="21"/>
              </w:rPr>
              <w:t>设备减振、降噪</w:t>
            </w:r>
          </w:p>
        </w:tc>
        <w:tc>
          <w:tcPr>
            <w:tcW w:w="0" w:type="auto"/>
            <w:noWrap w:val="0"/>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《工业企业厂界噪声标准》（GB12348-2008）2类标准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9" w:hRule="atLeast"/>
          <w:jc w:val="center"/>
        </w:trPr>
        <w:tc>
          <w:tcPr>
            <w:tcW w:w="0" w:type="auto"/>
            <w:vMerge w:val="restart"/>
            <w:noWrap w:val="0"/>
            <w:vAlign w:val="center"/>
          </w:tcPr>
          <w:p>
            <w:pPr>
              <w:spacing w:line="240" w:lineRule="atLeast"/>
              <w:jc w:val="center"/>
              <w:rPr>
                <w:rFonts w:hint="default" w:ascii="Times New Roman" w:hAnsi="Times New Roman" w:cs="Times New Roman"/>
                <w:szCs w:val="21"/>
              </w:rPr>
            </w:pPr>
            <w:r>
              <w:rPr>
                <w:rFonts w:hint="default" w:ascii="Times New Roman" w:hAnsi="Times New Roman" w:cs="Times New Roman"/>
                <w:szCs w:val="21"/>
              </w:rPr>
              <w:t>固体废物</w:t>
            </w:r>
          </w:p>
        </w:tc>
        <w:tc>
          <w:tcPr>
            <w:tcW w:w="0" w:type="auto"/>
            <w:noWrap w:val="0"/>
            <w:vAlign w:val="center"/>
          </w:tcPr>
          <w:p>
            <w:pPr>
              <w:jc w:val="center"/>
              <w:rPr>
                <w:rFonts w:hint="default" w:ascii="Times New Roman" w:hAnsi="Times New Roman" w:cs="Times New Roman"/>
              </w:rPr>
            </w:pPr>
            <w:r>
              <w:rPr>
                <w:rFonts w:hint="default" w:ascii="Times New Roman" w:hAnsi="Times New Roman" w:cs="Times New Roman"/>
              </w:rPr>
              <w:t>处理后医疗废物</w:t>
            </w:r>
            <w:r>
              <w:rPr>
                <w:rFonts w:hint="default" w:ascii="Times New Roman" w:hAnsi="Times New Roman" w:cs="Times New Roman"/>
                <w:bCs/>
                <w:spacing w:val="-10"/>
                <w:szCs w:val="21"/>
              </w:rPr>
              <w:t>S2</w:t>
            </w:r>
          </w:p>
        </w:tc>
        <w:tc>
          <w:tcPr>
            <w:tcW w:w="0" w:type="auto"/>
            <w:noWrap w:val="0"/>
            <w:vAlign w:val="center"/>
          </w:tcPr>
          <w:p>
            <w:pPr>
              <w:jc w:val="center"/>
              <w:rPr>
                <w:rFonts w:hint="default" w:ascii="Times New Roman" w:hAnsi="Times New Roman" w:cs="Times New Roman"/>
              </w:rPr>
            </w:pPr>
            <w:r>
              <w:rPr>
                <w:rFonts w:hint="default" w:ascii="Times New Roman" w:hAnsi="Times New Roman" w:cs="Times New Roman"/>
                <w:bCs/>
                <w:spacing w:val="-10"/>
                <w:szCs w:val="21"/>
              </w:rPr>
              <w:t>进入</w:t>
            </w:r>
            <w:r>
              <w:rPr>
                <w:rFonts w:hint="eastAsia" w:ascii="Times New Roman" w:hAnsi="Times New Roman" w:cs="Times New Roman"/>
                <w:bCs/>
                <w:spacing w:val="-10"/>
                <w:szCs w:val="21"/>
                <w:lang w:val="en-US" w:eastAsia="zh-CN"/>
              </w:rPr>
              <w:t>阿尔山市</w:t>
            </w:r>
            <w:r>
              <w:rPr>
                <w:rFonts w:hint="default" w:ascii="Times New Roman" w:hAnsi="Times New Roman" w:cs="Times New Roman"/>
                <w:bCs/>
                <w:spacing w:val="-10"/>
                <w:szCs w:val="21"/>
              </w:rPr>
              <w:t>生活垃圾填埋场填埋处理</w:t>
            </w:r>
          </w:p>
        </w:tc>
        <w:tc>
          <w:tcPr>
            <w:tcW w:w="0" w:type="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《一般工业固体废物贮存和填埋污染控制标准》(GB18599-2020)相关要求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54" w:hRule="atLeast"/>
          <w:jc w:val="center"/>
        </w:trPr>
        <w:tc>
          <w:tcPr>
            <w:tcW w:w="0" w:type="auto"/>
            <w:vMerge w:val="continue"/>
            <w:noWrap w:val="0"/>
            <w:vAlign w:val="center"/>
          </w:tcPr>
          <w:p>
            <w:pPr>
              <w:spacing w:line="240" w:lineRule="atLeast"/>
              <w:jc w:val="center"/>
              <w:rPr>
                <w:rFonts w:hint="default" w:ascii="Times New Roman" w:hAnsi="Times New Roman" w:cs="Times New Roman"/>
                <w:szCs w:val="21"/>
              </w:rPr>
            </w:pPr>
          </w:p>
        </w:tc>
        <w:tc>
          <w:tcPr>
            <w:tcW w:w="0" w:type="auto"/>
            <w:noWrap w:val="0"/>
            <w:vAlign w:val="center"/>
          </w:tcPr>
          <w:p>
            <w:pPr>
              <w:jc w:val="center"/>
              <w:rPr>
                <w:rFonts w:hint="default" w:ascii="Times New Roman" w:hAnsi="Times New Roman" w:cs="Times New Roman"/>
              </w:rPr>
            </w:pPr>
            <w:r>
              <w:rPr>
                <w:rFonts w:hint="default" w:ascii="Times New Roman" w:hAnsi="Times New Roman" w:cs="Times New Roman"/>
              </w:rPr>
              <w:t>废活性炭</w:t>
            </w:r>
            <w:r>
              <w:rPr>
                <w:rFonts w:hint="default" w:ascii="Times New Roman" w:hAnsi="Times New Roman" w:cs="Times New Roman"/>
                <w:bCs/>
                <w:spacing w:val="-10"/>
                <w:szCs w:val="21"/>
              </w:rPr>
              <w:t>S3</w:t>
            </w:r>
          </w:p>
        </w:tc>
        <w:tc>
          <w:tcPr>
            <w:tcW w:w="0" w:type="auto"/>
            <w:noWrap w:val="0"/>
            <w:vAlign w:val="center"/>
          </w:tcPr>
          <w:p>
            <w:pPr>
              <w:jc w:val="center"/>
              <w:rPr>
                <w:rFonts w:hint="default" w:ascii="Times New Roman" w:hAnsi="Times New Roman" w:cs="Times New Roman"/>
              </w:rPr>
            </w:pPr>
            <w:r>
              <w:rPr>
                <w:rFonts w:hint="default" w:ascii="Times New Roman" w:hAnsi="Times New Roman" w:cs="Times New Roman"/>
                <w:bCs/>
                <w:spacing w:val="-10"/>
                <w:szCs w:val="21"/>
              </w:rPr>
              <w:t>消毒后暂存危废暂存间</w:t>
            </w:r>
            <w:r>
              <w:rPr>
                <w:rFonts w:hint="default" w:ascii="Times New Roman" w:hAnsi="Times New Roman" w:cs="Times New Roman"/>
              </w:rPr>
              <w:t>（15m</w:t>
            </w:r>
            <w:r>
              <w:rPr>
                <w:rFonts w:hint="default" w:ascii="Times New Roman" w:hAnsi="Times New Roman" w:cs="Times New Roman"/>
                <w:vertAlign w:val="superscript"/>
              </w:rPr>
              <w:t>2</w:t>
            </w:r>
            <w:r>
              <w:rPr>
                <w:rFonts w:hint="default" w:ascii="Times New Roman" w:hAnsi="Times New Roman" w:cs="Times New Roman"/>
              </w:rPr>
              <w:t>），</w:t>
            </w:r>
            <w:r>
              <w:rPr>
                <w:rFonts w:hint="default" w:ascii="Times New Roman" w:hAnsi="Times New Roman" w:cs="Times New Roman"/>
                <w:bCs/>
                <w:spacing w:val="-10"/>
                <w:szCs w:val="21"/>
              </w:rPr>
              <w:t>委托有危废资质单位处置</w:t>
            </w:r>
          </w:p>
        </w:tc>
        <w:tc>
          <w:tcPr>
            <w:tcW w:w="0" w:type="auto"/>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《危险废物贮存污染控制标准》（GB18597-20</w:t>
            </w:r>
            <w:r>
              <w:rPr>
                <w:rStyle w:val="24"/>
                <w:rFonts w:hint="default" w:ascii="Times New Roman" w:hAnsi="Times New Roman" w:cs="Times New Roman"/>
                <w:kern w:val="0"/>
                <w:szCs w:val="20"/>
              </w:rPr>
              <w:t>23</w:t>
            </w: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54" w:hRule="atLeast"/>
          <w:jc w:val="center"/>
        </w:trPr>
        <w:tc>
          <w:tcPr>
            <w:tcW w:w="0" w:type="auto"/>
            <w:vMerge w:val="continue"/>
            <w:noWrap w:val="0"/>
            <w:vAlign w:val="center"/>
          </w:tcPr>
          <w:p>
            <w:pPr>
              <w:spacing w:line="240" w:lineRule="atLeast"/>
              <w:jc w:val="center"/>
              <w:rPr>
                <w:rFonts w:hint="default" w:ascii="Times New Roman" w:hAnsi="Times New Roman" w:cs="Times New Roman"/>
                <w:szCs w:val="21"/>
              </w:rPr>
            </w:pPr>
          </w:p>
        </w:tc>
        <w:tc>
          <w:tcPr>
            <w:tcW w:w="0" w:type="auto"/>
            <w:noWrap w:val="0"/>
            <w:vAlign w:val="center"/>
          </w:tcPr>
          <w:p>
            <w:pPr>
              <w:jc w:val="center"/>
              <w:rPr>
                <w:rFonts w:hint="default" w:ascii="Times New Roman" w:hAnsi="Times New Roman" w:cs="Times New Roman"/>
              </w:rPr>
            </w:pPr>
            <w:r>
              <w:rPr>
                <w:rFonts w:hint="default" w:ascii="Times New Roman" w:hAnsi="Times New Roman" w:cs="Times New Roman"/>
                <w:bCs/>
                <w:spacing w:val="-10"/>
                <w:szCs w:val="21"/>
              </w:rPr>
              <w:t>废UV灯管S4</w:t>
            </w:r>
          </w:p>
        </w:tc>
        <w:tc>
          <w:tcPr>
            <w:tcW w:w="0" w:type="auto"/>
            <w:noWrap w:val="0"/>
            <w:vAlign w:val="center"/>
          </w:tcPr>
          <w:p>
            <w:pPr>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消毒后暂存危废暂存间</w:t>
            </w:r>
            <w:r>
              <w:rPr>
                <w:rFonts w:hint="default" w:ascii="Times New Roman" w:hAnsi="Times New Roman" w:cs="Times New Roman"/>
              </w:rPr>
              <w:t>（15m</w:t>
            </w:r>
            <w:r>
              <w:rPr>
                <w:rFonts w:hint="default" w:ascii="Times New Roman" w:hAnsi="Times New Roman" w:cs="Times New Roman"/>
                <w:vertAlign w:val="superscript"/>
              </w:rPr>
              <w:t>2</w:t>
            </w:r>
            <w:r>
              <w:rPr>
                <w:rFonts w:hint="default" w:ascii="Times New Roman" w:hAnsi="Times New Roman" w:cs="Times New Roman"/>
              </w:rPr>
              <w:t>），</w:t>
            </w:r>
            <w:r>
              <w:rPr>
                <w:rFonts w:hint="default" w:ascii="Times New Roman" w:hAnsi="Times New Roman" w:cs="Times New Roman"/>
                <w:bCs/>
                <w:spacing w:val="-10"/>
                <w:szCs w:val="21"/>
              </w:rPr>
              <w:t>委托有危废资质单位处置</w:t>
            </w:r>
          </w:p>
        </w:tc>
        <w:tc>
          <w:tcPr>
            <w:tcW w:w="0" w:type="auto"/>
            <w:vMerge w:val="continue"/>
            <w:noWrap w:val="0"/>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54" w:hRule="atLeast"/>
          <w:jc w:val="center"/>
        </w:trPr>
        <w:tc>
          <w:tcPr>
            <w:tcW w:w="0" w:type="auto"/>
            <w:vMerge w:val="continue"/>
            <w:noWrap w:val="0"/>
            <w:vAlign w:val="center"/>
          </w:tcPr>
          <w:p>
            <w:pPr>
              <w:spacing w:line="240" w:lineRule="atLeast"/>
              <w:jc w:val="center"/>
              <w:rPr>
                <w:rFonts w:hint="default" w:ascii="Times New Roman" w:hAnsi="Times New Roman" w:cs="Times New Roman"/>
                <w:szCs w:val="21"/>
              </w:rPr>
            </w:pPr>
          </w:p>
        </w:tc>
        <w:tc>
          <w:tcPr>
            <w:tcW w:w="0" w:type="auto"/>
            <w:noWrap w:val="0"/>
            <w:vAlign w:val="center"/>
          </w:tcPr>
          <w:p>
            <w:pPr>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污水处理设施污泥S5</w:t>
            </w:r>
          </w:p>
        </w:tc>
        <w:tc>
          <w:tcPr>
            <w:tcW w:w="0" w:type="auto"/>
            <w:noWrap w:val="0"/>
            <w:vAlign w:val="center"/>
          </w:tcPr>
          <w:p>
            <w:pPr>
              <w:jc w:val="center"/>
              <w:rPr>
                <w:rFonts w:hint="default" w:ascii="Times New Roman" w:hAnsi="Times New Roman" w:cs="Times New Roman"/>
                <w:bCs/>
                <w:spacing w:val="-10"/>
                <w:szCs w:val="21"/>
              </w:rPr>
            </w:pPr>
            <w:r>
              <w:rPr>
                <w:rFonts w:hint="default" w:ascii="Times New Roman" w:hAnsi="Times New Roman" w:cs="Times New Roman"/>
                <w:bCs/>
                <w:spacing w:val="-10"/>
                <w:szCs w:val="21"/>
              </w:rPr>
              <w:t>消毒后暂存危废暂存间</w:t>
            </w:r>
            <w:r>
              <w:rPr>
                <w:rFonts w:hint="default" w:ascii="Times New Roman" w:hAnsi="Times New Roman" w:cs="Times New Roman"/>
              </w:rPr>
              <w:t>（15m</w:t>
            </w:r>
            <w:r>
              <w:rPr>
                <w:rFonts w:hint="default" w:ascii="Times New Roman" w:hAnsi="Times New Roman" w:cs="Times New Roman"/>
                <w:vertAlign w:val="superscript"/>
              </w:rPr>
              <w:t>2</w:t>
            </w:r>
            <w:r>
              <w:rPr>
                <w:rFonts w:hint="default" w:ascii="Times New Roman" w:hAnsi="Times New Roman" w:cs="Times New Roman"/>
              </w:rPr>
              <w:t>），</w:t>
            </w:r>
            <w:r>
              <w:rPr>
                <w:rFonts w:hint="default" w:ascii="Times New Roman" w:hAnsi="Times New Roman" w:cs="Times New Roman"/>
                <w:bCs/>
                <w:spacing w:val="-10"/>
                <w:szCs w:val="21"/>
              </w:rPr>
              <w:t>委托有危废资质单位处置</w:t>
            </w:r>
          </w:p>
        </w:tc>
        <w:tc>
          <w:tcPr>
            <w:tcW w:w="0" w:type="auto"/>
            <w:vMerge w:val="continue"/>
            <w:noWrap w:val="0"/>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9" w:hRule="atLeast"/>
          <w:jc w:val="center"/>
        </w:trPr>
        <w:tc>
          <w:tcPr>
            <w:tcW w:w="0" w:type="auto"/>
            <w:vMerge w:val="continue"/>
            <w:noWrap w:val="0"/>
            <w:vAlign w:val="center"/>
          </w:tcPr>
          <w:p>
            <w:pPr>
              <w:jc w:val="center"/>
              <w:rPr>
                <w:rFonts w:hint="default" w:ascii="Times New Roman" w:hAnsi="Times New Roman" w:cs="Times New Roman"/>
                <w:szCs w:val="21"/>
              </w:rPr>
            </w:pPr>
          </w:p>
        </w:tc>
        <w:tc>
          <w:tcPr>
            <w:tcW w:w="0" w:type="auto"/>
            <w:noWrap w:val="0"/>
            <w:vAlign w:val="center"/>
          </w:tcPr>
          <w:p>
            <w:pPr>
              <w:jc w:val="center"/>
              <w:rPr>
                <w:rFonts w:hint="default" w:ascii="Times New Roman" w:hAnsi="Times New Roman" w:cs="Times New Roman"/>
              </w:rPr>
            </w:pPr>
            <w:r>
              <w:rPr>
                <w:rFonts w:hint="default" w:ascii="Times New Roman" w:hAnsi="Times New Roman" w:cs="Times New Roman"/>
                <w:bCs/>
                <w:spacing w:val="-10"/>
                <w:szCs w:val="21"/>
              </w:rPr>
              <w:t>废周转箱</w:t>
            </w:r>
            <w:r>
              <w:rPr>
                <w:rFonts w:hint="default" w:ascii="Times New Roman" w:hAnsi="Times New Roman" w:cs="Times New Roman"/>
                <w:szCs w:val="21"/>
              </w:rPr>
              <w:t>及废一次性防护用品</w:t>
            </w:r>
            <w:r>
              <w:rPr>
                <w:rFonts w:hint="default" w:ascii="Times New Roman" w:hAnsi="Times New Roman" w:cs="Times New Roman"/>
                <w:bCs/>
                <w:spacing w:val="-10"/>
                <w:szCs w:val="21"/>
              </w:rPr>
              <w:t>S7</w:t>
            </w:r>
          </w:p>
        </w:tc>
        <w:tc>
          <w:tcPr>
            <w:tcW w:w="0" w:type="auto"/>
            <w:noWrap w:val="0"/>
            <w:vAlign w:val="center"/>
          </w:tcPr>
          <w:p>
            <w:pPr>
              <w:jc w:val="center"/>
              <w:rPr>
                <w:rFonts w:hint="default" w:ascii="Times New Roman" w:hAnsi="Times New Roman" w:cs="Times New Roman"/>
              </w:rPr>
            </w:pPr>
            <w:r>
              <w:rPr>
                <w:rFonts w:hint="default" w:ascii="Times New Roman" w:hAnsi="Times New Roman" w:cs="Times New Roman"/>
              </w:rPr>
              <w:t>进入本项目医废处理中心按照</w:t>
            </w:r>
            <w:r>
              <w:rPr>
                <w:rFonts w:hint="default" w:ascii="Times New Roman" w:hAnsi="Times New Roman" w:cs="Times New Roman"/>
                <w:sz w:val="21"/>
                <w:szCs w:val="21"/>
              </w:rPr>
              <w:t>《医疗废物</w:t>
            </w:r>
            <w:r>
              <w:rPr>
                <w:rFonts w:hint="default" w:ascii="Times New Roman" w:hAnsi="Times New Roman" w:cs="Times New Roman"/>
                <w:sz w:val="21"/>
                <w:szCs w:val="21"/>
                <w:lang w:val="en-US" w:eastAsia="zh-CN"/>
              </w:rPr>
              <w:t>高温蒸汽</w:t>
            </w:r>
            <w:r>
              <w:rPr>
                <w:rFonts w:hint="default" w:ascii="Times New Roman" w:hAnsi="Times New Roman" w:cs="Times New Roman"/>
                <w:sz w:val="21"/>
                <w:szCs w:val="21"/>
              </w:rPr>
              <w:t>消毒集中处理工程技术规范》（HJ</w:t>
            </w:r>
            <w:r>
              <w:rPr>
                <w:rFonts w:hint="default" w:ascii="Times New Roman" w:hAnsi="Times New Roman" w:cs="Times New Roman"/>
                <w:sz w:val="21"/>
                <w:szCs w:val="21"/>
                <w:lang w:val="en-US" w:eastAsia="zh-CN"/>
              </w:rPr>
              <w:t>276</w:t>
            </w:r>
            <w:r>
              <w:rPr>
                <w:rFonts w:hint="default" w:ascii="Times New Roman" w:hAnsi="Times New Roman" w:cs="Times New Roman"/>
                <w:sz w:val="21"/>
                <w:szCs w:val="21"/>
              </w:rPr>
              <w:t>-2021）</w:t>
            </w:r>
            <w:r>
              <w:rPr>
                <w:rFonts w:hint="default" w:ascii="Times New Roman" w:hAnsi="Times New Roman" w:cs="Times New Roman"/>
              </w:rPr>
              <w:t>处理后一并进入</w:t>
            </w:r>
            <w:r>
              <w:rPr>
                <w:rFonts w:hint="eastAsia" w:ascii="Times New Roman" w:hAnsi="Times New Roman" w:cs="Times New Roman"/>
                <w:lang w:val="en-US" w:eastAsia="zh-CN"/>
              </w:rPr>
              <w:t>阿尔山市</w:t>
            </w:r>
            <w:r>
              <w:rPr>
                <w:rFonts w:hint="default" w:ascii="Times New Roman" w:hAnsi="Times New Roman" w:cs="Times New Roman"/>
              </w:rPr>
              <w:t>生活垃圾填埋场填埋处置</w:t>
            </w:r>
          </w:p>
        </w:tc>
        <w:tc>
          <w:tcPr>
            <w:tcW w:w="0" w:type="auto"/>
            <w:vMerge w:val="continue"/>
            <w:noWrap w:val="0"/>
            <w:vAlign w:val="top"/>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9" w:hRule="atLeast"/>
          <w:jc w:val="center"/>
        </w:trPr>
        <w:tc>
          <w:tcPr>
            <w:tcW w:w="0" w:type="auto"/>
            <w:vMerge w:val="continue"/>
            <w:noWrap w:val="0"/>
            <w:vAlign w:val="center"/>
          </w:tcPr>
          <w:p>
            <w:pPr>
              <w:jc w:val="center"/>
              <w:rPr>
                <w:rFonts w:hint="default" w:ascii="Times New Roman" w:hAnsi="Times New Roman" w:cs="Times New Roman"/>
                <w:szCs w:val="21"/>
              </w:rPr>
            </w:pPr>
          </w:p>
        </w:tc>
        <w:tc>
          <w:tcPr>
            <w:tcW w:w="0" w:type="auto"/>
            <w:noWrap w:val="0"/>
            <w:vAlign w:val="center"/>
          </w:tcPr>
          <w:p>
            <w:pPr>
              <w:jc w:val="center"/>
              <w:rPr>
                <w:rFonts w:hint="default" w:ascii="Times New Roman" w:hAnsi="Times New Roman" w:cs="Times New Roman"/>
              </w:rPr>
            </w:pPr>
            <w:r>
              <w:rPr>
                <w:rFonts w:hint="default" w:ascii="Times New Roman" w:hAnsi="Times New Roman" w:cs="Times New Roman"/>
              </w:rPr>
              <w:t>生活垃圾</w:t>
            </w:r>
          </w:p>
        </w:tc>
        <w:tc>
          <w:tcPr>
            <w:tcW w:w="0" w:type="auto"/>
            <w:noWrap w:val="0"/>
            <w:vAlign w:val="center"/>
          </w:tcPr>
          <w:p>
            <w:pPr>
              <w:jc w:val="center"/>
              <w:rPr>
                <w:rFonts w:hint="default" w:ascii="Times New Roman" w:hAnsi="Times New Roman" w:cs="Times New Roman"/>
              </w:rPr>
            </w:pPr>
            <w:r>
              <w:rPr>
                <w:rFonts w:hint="default" w:ascii="Times New Roman" w:hAnsi="Times New Roman" w:cs="Times New Roman"/>
                <w:bCs/>
                <w:spacing w:val="-10"/>
                <w:szCs w:val="21"/>
              </w:rPr>
              <w:t>进入</w:t>
            </w:r>
            <w:r>
              <w:rPr>
                <w:rFonts w:hint="eastAsia" w:ascii="Times New Roman" w:hAnsi="Times New Roman" w:cs="Times New Roman"/>
                <w:bCs/>
                <w:spacing w:val="-10"/>
                <w:szCs w:val="21"/>
                <w:lang w:val="en-US" w:eastAsia="zh-CN"/>
              </w:rPr>
              <w:t>阿尔山市</w:t>
            </w:r>
            <w:r>
              <w:rPr>
                <w:rFonts w:hint="default" w:ascii="Times New Roman" w:hAnsi="Times New Roman" w:cs="Times New Roman"/>
                <w:bCs/>
                <w:spacing w:val="-10"/>
                <w:szCs w:val="21"/>
              </w:rPr>
              <w:t>生活垃圾填埋场填埋处理</w:t>
            </w:r>
          </w:p>
        </w:tc>
        <w:tc>
          <w:tcPr>
            <w:tcW w:w="0" w:type="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妥善处置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650" w:hRule="atLeast"/>
          <w:jc w:val="center"/>
        </w:trPr>
        <w:tc>
          <w:tcPr>
            <w:tcW w:w="0" w:type="auto"/>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地下水</w:t>
            </w:r>
          </w:p>
        </w:tc>
        <w:tc>
          <w:tcPr>
            <w:tcW w:w="0" w:type="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防渗</w:t>
            </w:r>
          </w:p>
        </w:tc>
        <w:tc>
          <w:tcPr>
            <w:tcW w:w="0" w:type="auto"/>
            <w:noWrap w:val="0"/>
            <w:vAlign w:val="center"/>
          </w:tcPr>
          <w:p>
            <w:pPr>
              <w:jc w:val="center"/>
              <w:rPr>
                <w:rFonts w:hint="default" w:ascii="Times New Roman" w:hAnsi="Times New Roman" w:cs="Times New Roman"/>
                <w:szCs w:val="21"/>
              </w:rPr>
            </w:pPr>
            <w:r>
              <w:rPr>
                <w:rFonts w:hint="default" w:ascii="Times New Roman" w:hAnsi="Times New Roman" w:cs="Times New Roman"/>
                <w:kern w:val="0"/>
                <w:szCs w:val="21"/>
                <w:lang w:bidi="ar"/>
              </w:rPr>
              <w:t>重点防渗区：处理车间上料大</w:t>
            </w:r>
            <w:r>
              <w:rPr>
                <w:rFonts w:hint="eastAsia" w:ascii="Times New Roman" w:hAnsi="Times New Roman" w:cs="Times New Roman"/>
                <w:kern w:val="0"/>
                <w:szCs w:val="21"/>
                <w:lang w:val="en-US" w:eastAsia="zh-CN" w:bidi="ar"/>
              </w:rPr>
              <w:t>区</w:t>
            </w:r>
            <w:r>
              <w:rPr>
                <w:rFonts w:hint="default" w:ascii="Times New Roman" w:hAnsi="Times New Roman" w:cs="Times New Roman"/>
                <w:kern w:val="0"/>
                <w:szCs w:val="21"/>
                <w:lang w:bidi="ar"/>
              </w:rPr>
              <w:t>、</w:t>
            </w:r>
            <w:r>
              <w:rPr>
                <w:rFonts w:hint="eastAsia" w:ascii="Times New Roman" w:hAnsi="Times New Roman" w:cs="Times New Roman"/>
                <w:kern w:val="0"/>
                <w:szCs w:val="21"/>
                <w:lang w:val="en-US" w:eastAsia="zh-CN" w:bidi="ar"/>
              </w:rPr>
              <w:t>高温蒸汽</w:t>
            </w:r>
            <w:r>
              <w:rPr>
                <w:rFonts w:hint="default" w:ascii="Times New Roman" w:hAnsi="Times New Roman" w:cs="Times New Roman"/>
                <w:kern w:val="0"/>
                <w:szCs w:val="21"/>
                <w:lang w:bidi="ar"/>
              </w:rPr>
              <w:t>处理系统区、污水处理区、周转桶消毒清洗池、洗车间、周转桶晾晒间、冷库、消毒物资</w:t>
            </w:r>
            <w:r>
              <w:rPr>
                <w:rFonts w:hint="eastAsia" w:ascii="Times New Roman" w:hAnsi="Times New Roman" w:cs="Times New Roman"/>
                <w:kern w:val="0"/>
                <w:szCs w:val="21"/>
                <w:lang w:val="en-US" w:eastAsia="zh-CN" w:bidi="ar"/>
              </w:rPr>
              <w:t>间</w:t>
            </w:r>
            <w:r>
              <w:rPr>
                <w:rFonts w:hint="default" w:ascii="Times New Roman" w:hAnsi="Times New Roman" w:cs="Times New Roman"/>
                <w:kern w:val="0"/>
                <w:szCs w:val="21"/>
                <w:lang w:bidi="ar"/>
              </w:rPr>
              <w:t>、危废暂存间、化粪池、事故池；一般防渗区：处理车间出料</w:t>
            </w:r>
            <w:r>
              <w:rPr>
                <w:rFonts w:hint="eastAsia" w:ascii="Times New Roman" w:hAnsi="Times New Roman" w:cs="Times New Roman"/>
                <w:kern w:val="0"/>
                <w:szCs w:val="21"/>
                <w:lang w:val="en-US" w:eastAsia="zh-CN" w:bidi="ar"/>
              </w:rPr>
              <w:t>区</w:t>
            </w:r>
            <w:r>
              <w:rPr>
                <w:rFonts w:hint="default" w:ascii="Times New Roman" w:hAnsi="Times New Roman" w:cs="Times New Roman"/>
                <w:kern w:val="0"/>
                <w:szCs w:val="21"/>
                <w:lang w:bidi="ar"/>
              </w:rPr>
              <w:t>、消防水池；简单防渗区：配电室、中控室、更衣淋浴间、车库、卫生间、办公生活管理区、厂区道路等。重点防渗区防渗层的防渗性能应达到等效黏土防渗层</w:t>
            </w:r>
            <w:r>
              <w:rPr>
                <w:rFonts w:hint="default" w:ascii="Times New Roman" w:hAnsi="Times New Roman" w:eastAsia="TimesNewRomanPSMT" w:cs="Times New Roman"/>
                <w:kern w:val="0"/>
                <w:szCs w:val="21"/>
                <w:lang w:bidi="ar"/>
              </w:rPr>
              <w:t>Mb</w:t>
            </w:r>
            <w:r>
              <w:rPr>
                <w:rFonts w:hint="default" w:ascii="Times New Roman" w:hAnsi="Times New Roman" w:cs="Times New Roman"/>
                <w:kern w:val="0"/>
                <w:szCs w:val="21"/>
                <w:lang w:bidi="ar"/>
              </w:rPr>
              <w:t>≥</w:t>
            </w:r>
            <w:r>
              <w:rPr>
                <w:rFonts w:hint="default" w:ascii="Times New Roman" w:hAnsi="Times New Roman" w:eastAsia="TimesNewRomanPSMT" w:cs="Times New Roman"/>
                <w:kern w:val="0"/>
                <w:szCs w:val="21"/>
                <w:lang w:bidi="ar"/>
              </w:rPr>
              <w:t>6.0m</w:t>
            </w:r>
            <w:r>
              <w:rPr>
                <w:rFonts w:hint="default" w:ascii="Times New Roman" w:hAnsi="Times New Roman" w:cs="Times New Roman"/>
                <w:kern w:val="0"/>
                <w:szCs w:val="21"/>
                <w:lang w:bidi="ar"/>
              </w:rPr>
              <w:t>，渗透系数</w:t>
            </w:r>
            <w:r>
              <w:rPr>
                <w:rFonts w:hint="default" w:ascii="Times New Roman" w:hAnsi="Times New Roman" w:eastAsia="TimesNewRomanPSMT" w:cs="Times New Roman"/>
                <w:kern w:val="0"/>
                <w:szCs w:val="21"/>
                <w:lang w:bidi="ar"/>
              </w:rPr>
              <w:t>K</w:t>
            </w:r>
            <w:r>
              <w:rPr>
                <w:rFonts w:hint="default" w:ascii="Times New Roman" w:hAnsi="Times New Roman" w:cs="Times New Roman"/>
                <w:kern w:val="0"/>
                <w:szCs w:val="21"/>
                <w:lang w:bidi="ar"/>
              </w:rPr>
              <w:t>≤</w:t>
            </w:r>
            <w:r>
              <w:rPr>
                <w:rFonts w:hint="default" w:ascii="Times New Roman" w:hAnsi="Times New Roman" w:eastAsia="TimesNewRomanPSMT" w:cs="Times New Roman"/>
                <w:kern w:val="0"/>
                <w:szCs w:val="21"/>
                <w:lang w:bidi="ar"/>
              </w:rPr>
              <w:t>1×10</w:t>
            </w:r>
            <w:r>
              <w:rPr>
                <w:rFonts w:hint="default" w:ascii="Times New Roman" w:hAnsi="Times New Roman" w:eastAsia="TimesNewRomanPSMT" w:cs="Times New Roman"/>
                <w:kern w:val="0"/>
                <w:szCs w:val="21"/>
                <w:vertAlign w:val="superscript"/>
                <w:lang w:bidi="ar"/>
              </w:rPr>
              <w:t>-</w:t>
            </w:r>
            <w:r>
              <w:rPr>
                <w:rFonts w:hint="eastAsia" w:ascii="Times New Roman" w:hAnsi="Times New Roman" w:eastAsia="宋体" w:cs="Times New Roman"/>
                <w:kern w:val="0"/>
                <w:szCs w:val="21"/>
                <w:vertAlign w:val="superscript"/>
                <w:lang w:val="en-US" w:eastAsia="zh-CN" w:bidi="ar"/>
              </w:rPr>
              <w:t>10</w:t>
            </w:r>
            <w:r>
              <w:rPr>
                <w:rFonts w:hint="default" w:ascii="Times New Roman" w:hAnsi="Times New Roman" w:eastAsia="TimesNewRomanPSMT" w:cs="Times New Roman"/>
                <w:kern w:val="0"/>
                <w:szCs w:val="21"/>
                <w:lang w:bidi="ar"/>
              </w:rPr>
              <w:t xml:space="preserve">cm/s </w:t>
            </w:r>
            <w:r>
              <w:rPr>
                <w:rFonts w:hint="default" w:ascii="Times New Roman" w:hAnsi="Times New Roman" w:cs="Times New Roman"/>
                <w:kern w:val="0"/>
                <w:szCs w:val="21"/>
                <w:lang w:bidi="ar"/>
              </w:rPr>
              <w:t xml:space="preserve">；一般防渗区的防渗性能应达到等效黏土防渗层 </w:t>
            </w:r>
            <w:r>
              <w:rPr>
                <w:rFonts w:hint="default" w:ascii="Times New Roman" w:hAnsi="Times New Roman" w:eastAsia="TimesNewRomanPSMT" w:cs="Times New Roman"/>
                <w:kern w:val="0"/>
                <w:szCs w:val="21"/>
                <w:lang w:bidi="ar"/>
              </w:rPr>
              <w:t>Mb</w:t>
            </w:r>
            <w:r>
              <w:rPr>
                <w:rFonts w:hint="default" w:ascii="Times New Roman" w:hAnsi="Times New Roman" w:cs="Times New Roman"/>
                <w:kern w:val="0"/>
                <w:szCs w:val="21"/>
                <w:lang w:bidi="ar"/>
              </w:rPr>
              <w:t>≥</w:t>
            </w:r>
            <w:r>
              <w:rPr>
                <w:rFonts w:hint="default" w:ascii="Times New Roman" w:hAnsi="Times New Roman" w:eastAsia="TimesNewRomanPSMT" w:cs="Times New Roman"/>
                <w:kern w:val="0"/>
                <w:szCs w:val="21"/>
                <w:lang w:bidi="ar"/>
              </w:rPr>
              <w:t>1.5m</w:t>
            </w:r>
            <w:r>
              <w:rPr>
                <w:rFonts w:hint="default" w:ascii="Times New Roman" w:hAnsi="Times New Roman" w:cs="Times New Roman"/>
                <w:kern w:val="0"/>
                <w:szCs w:val="21"/>
                <w:lang w:bidi="ar"/>
              </w:rPr>
              <w:t>，渗透系数</w:t>
            </w:r>
            <w:r>
              <w:rPr>
                <w:rFonts w:hint="default" w:ascii="Times New Roman" w:hAnsi="Times New Roman" w:eastAsia="TimesNewRomanPSMT" w:cs="Times New Roman"/>
                <w:kern w:val="0"/>
                <w:szCs w:val="21"/>
                <w:lang w:bidi="ar"/>
              </w:rPr>
              <w:t>K</w:t>
            </w:r>
            <w:r>
              <w:rPr>
                <w:rFonts w:hint="default" w:ascii="Times New Roman" w:hAnsi="Times New Roman" w:cs="Times New Roman"/>
                <w:kern w:val="0"/>
                <w:szCs w:val="21"/>
                <w:lang w:bidi="ar"/>
              </w:rPr>
              <w:t>≤</w:t>
            </w:r>
            <w:r>
              <w:rPr>
                <w:rFonts w:hint="default" w:ascii="Times New Roman" w:hAnsi="Times New Roman" w:eastAsia="TimesNewRomanPSMT" w:cs="Times New Roman"/>
                <w:kern w:val="0"/>
                <w:szCs w:val="21"/>
                <w:lang w:bidi="ar"/>
              </w:rPr>
              <w:t>1×10</w:t>
            </w:r>
            <w:r>
              <w:rPr>
                <w:rFonts w:hint="default" w:ascii="Times New Roman" w:hAnsi="Times New Roman" w:eastAsia="TimesNewRomanPSMT" w:cs="Times New Roman"/>
                <w:kern w:val="0"/>
                <w:szCs w:val="21"/>
                <w:vertAlign w:val="superscript"/>
                <w:lang w:bidi="ar"/>
              </w:rPr>
              <w:t>-7</w:t>
            </w:r>
            <w:r>
              <w:rPr>
                <w:rFonts w:hint="default" w:ascii="Times New Roman" w:hAnsi="Times New Roman" w:eastAsia="TimesNewRomanPSMT" w:cs="Times New Roman"/>
                <w:kern w:val="0"/>
                <w:szCs w:val="21"/>
                <w:lang w:bidi="ar"/>
              </w:rPr>
              <w:t>cm/s</w:t>
            </w:r>
            <w:r>
              <w:rPr>
                <w:rFonts w:hint="default" w:ascii="Times New Roman" w:hAnsi="Times New Roman" w:cs="Times New Roman"/>
                <w:kern w:val="0"/>
                <w:szCs w:val="21"/>
                <w:lang w:bidi="ar"/>
              </w:rPr>
              <w:t>；简单防渗区采用水泥硬化</w:t>
            </w:r>
          </w:p>
        </w:tc>
        <w:tc>
          <w:tcPr>
            <w:tcW w:w="0" w:type="auto"/>
            <w:vMerge w:val="restart"/>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rPr>
              <w:t>《环境影响评价技术导则 地下水环境》一般防渗区防渗；</w:t>
            </w:r>
            <w:r>
              <w:rPr>
                <w:rFonts w:hint="default" w:ascii="Times New Roman" w:hAnsi="Times New Roman" w:cs="Times New Roman"/>
                <w:color w:val="auto"/>
                <w:sz w:val="21"/>
                <w:szCs w:val="21"/>
                <w:highlight w:val="none"/>
              </w:rPr>
              <w:t>《危险废物贮存污染控制标准》</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GB18597-20</w:t>
            </w:r>
            <w:r>
              <w:rPr>
                <w:rFonts w:hint="eastAsia" w:ascii="Times New Roman" w:hAnsi="Times New Roman" w:cs="Times New Roman"/>
                <w:color w:val="auto"/>
                <w:sz w:val="21"/>
                <w:szCs w:val="21"/>
                <w:highlight w:val="none"/>
                <w:lang w:val="en-US" w:eastAsia="zh-CN"/>
              </w:rPr>
              <w:t>23</w:t>
            </w:r>
            <w:r>
              <w:rPr>
                <w:rFonts w:hint="eastAsia" w:ascii="Times New Roman" w:hAnsi="Times New Roman"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9" w:hRule="atLeast"/>
          <w:jc w:val="center"/>
        </w:trPr>
        <w:tc>
          <w:tcPr>
            <w:tcW w:w="0" w:type="auto"/>
            <w:vMerge w:val="continue"/>
            <w:noWrap w:val="0"/>
            <w:vAlign w:val="center"/>
          </w:tcPr>
          <w:p>
            <w:pPr>
              <w:jc w:val="center"/>
              <w:rPr>
                <w:rFonts w:hint="default" w:ascii="Times New Roman" w:hAnsi="Times New Roman" w:cs="Times New Roman"/>
                <w:szCs w:val="21"/>
              </w:rPr>
            </w:pPr>
          </w:p>
        </w:tc>
        <w:tc>
          <w:tcPr>
            <w:tcW w:w="0" w:type="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监测井</w:t>
            </w:r>
          </w:p>
        </w:tc>
        <w:tc>
          <w:tcPr>
            <w:tcW w:w="0" w:type="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上游设置1眼对照井，下游设置2眼监测井</w:t>
            </w:r>
          </w:p>
        </w:tc>
        <w:tc>
          <w:tcPr>
            <w:tcW w:w="0" w:type="auto"/>
            <w:vMerge w:val="continue"/>
            <w:noWrap w:val="0"/>
            <w:vAlign w:val="top"/>
          </w:tcPr>
          <w:p>
            <w:pPr>
              <w:jc w:val="center"/>
              <w:rPr>
                <w:rFonts w:hint="default"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69" w:hRule="atLeast"/>
          <w:jc w:val="center"/>
        </w:trPr>
        <w:tc>
          <w:tcPr>
            <w:tcW w:w="0" w:type="auto"/>
            <w:gridSpan w:val="2"/>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风险防范措施</w:t>
            </w:r>
          </w:p>
        </w:tc>
        <w:tc>
          <w:tcPr>
            <w:tcW w:w="0" w:type="auto"/>
            <w:noWrap w:val="0"/>
            <w:vAlign w:val="center"/>
          </w:tcPr>
          <w:p>
            <w:pPr>
              <w:jc w:val="center"/>
              <w:rPr>
                <w:rFonts w:hint="default" w:ascii="Times New Roman" w:hAnsi="Times New Roman" w:cs="Times New Roman"/>
                <w:color w:val="000000"/>
                <w:kern w:val="0"/>
                <w:szCs w:val="21"/>
              </w:rPr>
            </w:pPr>
            <w:r>
              <w:rPr>
                <w:rFonts w:hint="eastAsia" w:ascii="Times New Roman" w:hAnsi="Times New Roman" w:cs="Times New Roman"/>
                <w:color w:val="000000"/>
                <w:kern w:val="0"/>
                <w:szCs w:val="21"/>
                <w:lang w:val="en-US" w:eastAsia="zh-CN"/>
              </w:rPr>
              <w:t>玻璃钢污水罐</w:t>
            </w:r>
            <w:r>
              <w:rPr>
                <w:rFonts w:hint="default" w:ascii="Times New Roman" w:hAnsi="Times New Roman" w:cs="Times New Roman"/>
                <w:color w:val="000000"/>
                <w:kern w:val="0"/>
                <w:szCs w:val="21"/>
              </w:rPr>
              <w:t>（兼初期雨水收集），容积为</w:t>
            </w:r>
            <w:r>
              <w:rPr>
                <w:rFonts w:hint="eastAsia" w:ascii="Times New Roman" w:hAnsi="Times New Roman" w:cs="Times New Roman"/>
                <w:color w:val="000000"/>
                <w:kern w:val="0"/>
                <w:szCs w:val="21"/>
                <w:lang w:val="en-US" w:eastAsia="zh-CN"/>
              </w:rPr>
              <w:t>1</w:t>
            </w:r>
            <w:r>
              <w:rPr>
                <w:rFonts w:hint="default" w:ascii="Times New Roman" w:hAnsi="Times New Roman" w:cs="Times New Roman"/>
                <w:color w:val="000000"/>
                <w:kern w:val="0"/>
                <w:szCs w:val="21"/>
              </w:rPr>
              <w:t>0m</w:t>
            </w:r>
            <w:r>
              <w:rPr>
                <w:rFonts w:hint="default" w:ascii="Times New Roman" w:hAnsi="Times New Roman" w:cs="Times New Roman"/>
                <w:color w:val="000000"/>
                <w:kern w:val="0"/>
                <w:szCs w:val="21"/>
                <w:vertAlign w:val="superscript"/>
              </w:rPr>
              <w:t>3</w:t>
            </w:r>
            <w:r>
              <w:rPr>
                <w:rFonts w:hint="default" w:ascii="Times New Roman" w:hAnsi="Times New Roman" w:cs="Times New Roman"/>
                <w:color w:val="000000"/>
                <w:kern w:val="0"/>
                <w:szCs w:val="21"/>
              </w:rPr>
              <w:t>，</w:t>
            </w:r>
            <w:r>
              <w:rPr>
                <w:rFonts w:hint="default" w:ascii="Times New Roman" w:hAnsi="Times New Roman" w:cs="Times New Roman"/>
                <w:color w:val="000000"/>
                <w:kern w:val="0"/>
                <w:szCs w:val="21"/>
                <w:lang w:bidi="ar"/>
              </w:rPr>
              <w:t>防渗性能应达到等效黏土防渗层</w:t>
            </w:r>
            <w:r>
              <w:rPr>
                <w:rFonts w:hint="default" w:ascii="Times New Roman" w:hAnsi="Times New Roman" w:eastAsia="TimesNewRomanPSMT" w:cs="Times New Roman"/>
                <w:color w:val="000000"/>
                <w:kern w:val="0"/>
                <w:szCs w:val="21"/>
                <w:lang w:bidi="ar"/>
              </w:rPr>
              <w:t>Mb</w:t>
            </w:r>
            <w:r>
              <w:rPr>
                <w:rFonts w:hint="default" w:ascii="Times New Roman" w:hAnsi="Times New Roman" w:cs="Times New Roman"/>
                <w:color w:val="000000"/>
                <w:kern w:val="0"/>
                <w:szCs w:val="21"/>
                <w:lang w:bidi="ar"/>
              </w:rPr>
              <w:t>≥</w:t>
            </w:r>
            <w:r>
              <w:rPr>
                <w:rFonts w:hint="default" w:ascii="Times New Roman" w:hAnsi="Times New Roman" w:eastAsia="TimesNewRomanPSMT" w:cs="Times New Roman"/>
                <w:color w:val="000000"/>
                <w:kern w:val="0"/>
                <w:szCs w:val="21"/>
                <w:lang w:bidi="ar"/>
              </w:rPr>
              <w:t>6.0m</w:t>
            </w:r>
            <w:r>
              <w:rPr>
                <w:rFonts w:hint="default" w:ascii="Times New Roman" w:hAnsi="Times New Roman" w:cs="Times New Roman"/>
                <w:color w:val="000000"/>
                <w:kern w:val="0"/>
                <w:szCs w:val="21"/>
                <w:lang w:bidi="ar"/>
              </w:rPr>
              <w:t>，渗透系数</w:t>
            </w:r>
            <w:r>
              <w:rPr>
                <w:rFonts w:hint="default" w:ascii="Times New Roman" w:hAnsi="Times New Roman" w:eastAsia="TimesNewRomanPSMT" w:cs="Times New Roman"/>
                <w:color w:val="000000"/>
                <w:kern w:val="0"/>
                <w:szCs w:val="21"/>
                <w:lang w:bidi="ar"/>
              </w:rPr>
              <w:t>K</w:t>
            </w:r>
            <w:r>
              <w:rPr>
                <w:rFonts w:hint="default" w:ascii="Times New Roman" w:hAnsi="Times New Roman" w:cs="Times New Roman"/>
                <w:color w:val="000000"/>
                <w:kern w:val="0"/>
                <w:szCs w:val="21"/>
                <w:lang w:bidi="ar"/>
              </w:rPr>
              <w:t>≤</w:t>
            </w:r>
            <w:r>
              <w:rPr>
                <w:rFonts w:hint="default" w:ascii="Times New Roman" w:hAnsi="Times New Roman" w:eastAsia="TimesNewRomanPSMT" w:cs="Times New Roman"/>
                <w:color w:val="000000"/>
                <w:kern w:val="0"/>
                <w:szCs w:val="21"/>
                <w:lang w:bidi="ar"/>
              </w:rPr>
              <w:t>1×10</w:t>
            </w:r>
            <w:r>
              <w:rPr>
                <w:rFonts w:hint="default" w:ascii="Times New Roman" w:hAnsi="Times New Roman" w:eastAsia="TimesNewRomanPSMT" w:cs="Times New Roman"/>
                <w:color w:val="000000"/>
                <w:kern w:val="0"/>
                <w:szCs w:val="21"/>
                <w:vertAlign w:val="superscript"/>
                <w:lang w:bidi="ar"/>
              </w:rPr>
              <w:t>-7</w:t>
            </w:r>
            <w:r>
              <w:rPr>
                <w:rFonts w:hint="default" w:ascii="Times New Roman" w:hAnsi="Times New Roman" w:eastAsia="TimesNewRomanPSMT" w:cs="Times New Roman"/>
                <w:color w:val="000000"/>
                <w:kern w:val="0"/>
                <w:szCs w:val="21"/>
                <w:lang w:bidi="ar"/>
              </w:rPr>
              <w:t>cm/s</w:t>
            </w:r>
          </w:p>
        </w:tc>
        <w:tc>
          <w:tcPr>
            <w:tcW w:w="0" w:type="auto"/>
            <w:noWrap w:val="0"/>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w:t>
            </w:r>
          </w:p>
        </w:tc>
      </w:tr>
    </w:tbl>
    <w:p>
      <w:pPr>
        <w:pStyle w:val="2"/>
        <w:spacing w:line="360" w:lineRule="auto"/>
        <w:ind w:left="0" w:leftChars="0" w:firstLine="0" w:firstLineChars="0"/>
        <w:rPr>
          <w:sz w:val="24"/>
        </w:rPr>
      </w:pPr>
    </w:p>
    <w:p>
      <w:pPr>
        <w:pStyle w:val="36"/>
        <w:rPr>
          <w:rFonts w:hint="eastAsia" w:cs="Times New Roman"/>
        </w:rPr>
      </w:pPr>
      <w:bookmarkStart w:id="284" w:name="_Toc301167916"/>
      <w:bookmarkStart w:id="285" w:name="_Toc20980"/>
      <w:bookmarkStart w:id="286" w:name="_Toc393717261"/>
      <w:bookmarkStart w:id="287" w:name="_Toc439257951"/>
      <w:bookmarkStart w:id="288" w:name="_Toc352233081"/>
      <w:bookmarkStart w:id="289" w:name="_Toc426048385"/>
      <w:bookmarkStart w:id="290" w:name="_Toc28061"/>
      <w:r>
        <w:rPr>
          <w:rFonts w:hint="default" w:ascii="Times New Roman" w:hAnsi="Times New Roman" w:cs="Times New Roman"/>
        </w:rPr>
        <w:t>第9章 结论</w:t>
      </w:r>
      <w:bookmarkEnd w:id="284"/>
      <w:bookmarkEnd w:id="285"/>
      <w:bookmarkEnd w:id="286"/>
      <w:bookmarkEnd w:id="287"/>
      <w:bookmarkEnd w:id="288"/>
      <w:bookmarkEnd w:id="289"/>
      <w:bookmarkEnd w:id="290"/>
    </w:p>
    <w:p>
      <w:pPr>
        <w:pStyle w:val="5"/>
        <w:bidi w:val="0"/>
        <w:rPr>
          <w:rFonts w:hint="default" w:ascii="Times New Roman" w:hAnsi="Times New Roman" w:cs="Times New Roman"/>
        </w:rPr>
      </w:pPr>
      <w:bookmarkStart w:id="291" w:name="_Toc352233082"/>
      <w:bookmarkStart w:id="292" w:name="_Toc22927"/>
      <w:bookmarkStart w:id="293" w:name="_Toc393717262"/>
      <w:bookmarkStart w:id="294" w:name="_Toc301167917"/>
      <w:bookmarkStart w:id="295" w:name="_Toc426048386"/>
      <w:bookmarkStart w:id="296" w:name="_Toc439257952"/>
      <w:bookmarkStart w:id="297" w:name="_Toc9400"/>
      <w:r>
        <w:rPr>
          <w:rFonts w:hint="default" w:ascii="Times New Roman" w:hAnsi="Times New Roman" w:cs="Times New Roman"/>
        </w:rPr>
        <w:t>9.1项目概况</w:t>
      </w:r>
      <w:bookmarkEnd w:id="291"/>
      <w:bookmarkEnd w:id="292"/>
      <w:bookmarkEnd w:id="293"/>
      <w:bookmarkEnd w:id="294"/>
      <w:bookmarkEnd w:id="295"/>
      <w:bookmarkEnd w:id="296"/>
      <w:bookmarkEnd w:id="297"/>
    </w:p>
    <w:p>
      <w:pPr>
        <w:spacing w:line="360" w:lineRule="auto"/>
        <w:ind w:left="1651" w:leftChars="224" w:hanging="1181" w:hangingChars="490"/>
        <w:outlineLvl w:val="2"/>
        <w:rPr>
          <w:rFonts w:hint="default" w:ascii="Times New Roman" w:hAnsi="Times New Roman" w:cs="Times New Roman"/>
          <w:sz w:val="24"/>
        </w:rPr>
      </w:pPr>
      <w:bookmarkStart w:id="298" w:name="_Toc14864"/>
      <w:r>
        <w:rPr>
          <w:rFonts w:hint="default" w:ascii="Times New Roman" w:hAnsi="Times New Roman" w:cs="Times New Roman"/>
          <w:b/>
          <w:sz w:val="24"/>
        </w:rPr>
        <w:t>项目名称：</w:t>
      </w:r>
      <w:r>
        <w:rPr>
          <w:rFonts w:hint="default" w:ascii="Times New Roman" w:hAnsi="Times New Roman" w:cs="Times New Roman"/>
          <w:sz w:val="24"/>
          <w:lang w:val="en-US" w:eastAsia="zh-CN"/>
        </w:rPr>
        <w:t>阿尔山市医疗废物处置中心</w:t>
      </w:r>
      <w:r>
        <w:rPr>
          <w:rFonts w:hint="default" w:ascii="Times New Roman" w:hAnsi="Times New Roman" w:cs="Times New Roman"/>
          <w:sz w:val="24"/>
        </w:rPr>
        <w:t>建设项目</w:t>
      </w:r>
      <w:bookmarkEnd w:id="298"/>
    </w:p>
    <w:p>
      <w:pPr>
        <w:spacing w:line="360" w:lineRule="auto"/>
        <w:ind w:firstLine="482" w:firstLineChars="200"/>
        <w:rPr>
          <w:rFonts w:hint="default" w:ascii="Times New Roman" w:hAnsi="Times New Roman" w:cs="Times New Roman"/>
          <w:sz w:val="24"/>
        </w:rPr>
      </w:pPr>
      <w:r>
        <w:rPr>
          <w:rFonts w:hint="default" w:ascii="Times New Roman" w:hAnsi="Times New Roman" w:cs="Times New Roman"/>
          <w:b/>
          <w:sz w:val="24"/>
        </w:rPr>
        <w:t>项目性质：</w:t>
      </w:r>
      <w:r>
        <w:rPr>
          <w:rFonts w:hint="default" w:ascii="Times New Roman" w:hAnsi="Times New Roman" w:cs="Times New Roman"/>
          <w:sz w:val="24"/>
        </w:rPr>
        <w:t>新建</w:t>
      </w:r>
    </w:p>
    <w:p>
      <w:pPr>
        <w:spacing w:line="360" w:lineRule="auto"/>
        <w:ind w:left="1651" w:leftChars="224" w:hanging="1181" w:hangingChars="490"/>
        <w:rPr>
          <w:rFonts w:hint="default" w:ascii="Times New Roman" w:hAnsi="Times New Roman" w:eastAsia="宋体" w:cs="Times New Roman"/>
          <w:sz w:val="24"/>
          <w:lang w:val="en-US" w:eastAsia="zh-CN"/>
        </w:rPr>
      </w:pPr>
      <w:r>
        <w:rPr>
          <w:rFonts w:hint="default" w:ascii="Times New Roman" w:hAnsi="Times New Roman" w:cs="Times New Roman"/>
          <w:b/>
          <w:sz w:val="24"/>
        </w:rPr>
        <w:t>建设单位：</w:t>
      </w:r>
      <w:r>
        <w:rPr>
          <w:rFonts w:hint="default" w:ascii="Times New Roman" w:hAnsi="Times New Roman" w:cs="Times New Roman"/>
          <w:sz w:val="24"/>
          <w:lang w:val="en-US" w:eastAsia="zh-CN"/>
        </w:rPr>
        <w:t>兴安盟生态环境局阿尔山市分局</w:t>
      </w:r>
    </w:p>
    <w:p>
      <w:pPr>
        <w:pStyle w:val="2"/>
        <w:spacing w:line="360" w:lineRule="auto"/>
        <w:ind w:left="0" w:leftChars="0" w:firstLine="482" w:firstLineChars="200"/>
        <w:rPr>
          <w:rFonts w:hint="default" w:ascii="Times New Roman" w:hAnsi="Times New Roman" w:cs="Times New Roman"/>
          <w:sz w:val="24"/>
        </w:rPr>
      </w:pPr>
      <w:r>
        <w:rPr>
          <w:rFonts w:hint="default" w:ascii="Times New Roman" w:hAnsi="Times New Roman" w:cs="Times New Roman"/>
          <w:b/>
          <w:sz w:val="24"/>
        </w:rPr>
        <w:t>建设内容：</w:t>
      </w:r>
      <w:r>
        <w:rPr>
          <w:rFonts w:hint="default" w:ascii="Times New Roman" w:hAnsi="Times New Roman" w:cs="Times New Roman"/>
          <w:sz w:val="24"/>
          <w:szCs w:val="24"/>
          <w:vertAlign w:val="baseline"/>
        </w:rPr>
        <w:t>项目总占地面积 2045 平方米，建筑面积 845.36平方米，</w:t>
      </w:r>
      <w:r>
        <w:rPr>
          <w:rFonts w:hint="default" w:ascii="Times New Roman" w:hAnsi="Times New Roman" w:cs="Times New Roman"/>
          <w:color w:val="auto"/>
          <w:sz w:val="24"/>
          <w:szCs w:val="24"/>
          <w:vertAlign w:val="baseline"/>
        </w:rPr>
        <w:t>购置两台处理设备，</w:t>
      </w:r>
      <w:r>
        <w:rPr>
          <w:rFonts w:hint="default" w:ascii="Times New Roman" w:hAnsi="Times New Roman" w:cs="Times New Roman"/>
          <w:sz w:val="24"/>
          <w:szCs w:val="24"/>
          <w:vertAlign w:val="baseline"/>
        </w:rPr>
        <w:t>垃圾贮存处理间</w:t>
      </w:r>
      <w:r>
        <w:rPr>
          <w:rFonts w:hint="default" w:ascii="Times New Roman" w:hAnsi="Times New Roman" w:cs="Times New Roman"/>
          <w:sz w:val="24"/>
          <w:szCs w:val="24"/>
          <w:vertAlign w:val="baseline"/>
          <w:lang w:val="en-US" w:eastAsia="zh-CN"/>
        </w:rPr>
        <w:t>总建筑面积343.52平方米，其中</w:t>
      </w:r>
      <w:r>
        <w:rPr>
          <w:rFonts w:hint="default" w:ascii="Times New Roman" w:hAnsi="Times New Roman" w:cs="Times New Roman"/>
          <w:sz w:val="24"/>
          <w:szCs w:val="24"/>
          <w:vertAlign w:val="baseline"/>
        </w:rPr>
        <w:t xml:space="preserve">处理车间 </w:t>
      </w:r>
      <w:r>
        <w:rPr>
          <w:rFonts w:hint="default" w:ascii="Times New Roman" w:hAnsi="Times New Roman" w:cs="Times New Roman"/>
          <w:sz w:val="24"/>
          <w:szCs w:val="24"/>
          <w:vertAlign w:val="baseline"/>
          <w:lang w:val="en-US" w:eastAsia="zh-CN"/>
        </w:rPr>
        <w:t>223.18</w:t>
      </w:r>
      <w:r>
        <w:rPr>
          <w:rFonts w:hint="default" w:ascii="Times New Roman" w:hAnsi="Times New Roman" w:cs="Times New Roman"/>
          <w:sz w:val="24"/>
          <w:szCs w:val="24"/>
          <w:vertAlign w:val="baseline"/>
        </w:rPr>
        <w:t>平方米，垃圾贮存间 120.34 平方米</w:t>
      </w:r>
      <w:r>
        <w:rPr>
          <w:rFonts w:hint="default" w:ascii="Times New Roman" w:hAnsi="Times New Roman" w:cs="Times New Roman"/>
          <w:sz w:val="24"/>
          <w:szCs w:val="24"/>
          <w:vertAlign w:val="baseline"/>
          <w:lang w:eastAsia="zh-CN"/>
        </w:rPr>
        <w:t>。</w:t>
      </w:r>
      <w:r>
        <w:rPr>
          <w:rFonts w:hint="default" w:ascii="Times New Roman" w:hAnsi="Times New Roman" w:cs="Times New Roman"/>
          <w:sz w:val="24"/>
          <w:szCs w:val="24"/>
          <w:vertAlign w:val="baseline"/>
        </w:rPr>
        <w:t xml:space="preserve">地面硬化 </w:t>
      </w:r>
      <w:r>
        <w:rPr>
          <w:rFonts w:hint="default" w:ascii="Times New Roman" w:hAnsi="Times New Roman" w:cs="Times New Roman"/>
          <w:sz w:val="24"/>
          <w:szCs w:val="24"/>
          <w:vertAlign w:val="baseline"/>
          <w:lang w:val="en-US" w:eastAsia="zh-CN"/>
        </w:rPr>
        <w:t>420.4</w:t>
      </w:r>
      <w:r>
        <w:rPr>
          <w:rFonts w:hint="default" w:ascii="Times New Roman" w:hAnsi="Times New Roman" w:cs="Times New Roman"/>
          <w:sz w:val="24"/>
          <w:szCs w:val="24"/>
          <w:vertAlign w:val="baseline"/>
        </w:rPr>
        <w:t xml:space="preserve">平方米、围栏 </w:t>
      </w:r>
      <w:r>
        <w:rPr>
          <w:rFonts w:hint="default" w:ascii="Times New Roman" w:hAnsi="Times New Roman" w:cs="Times New Roman"/>
          <w:sz w:val="24"/>
          <w:szCs w:val="24"/>
          <w:vertAlign w:val="baseline"/>
          <w:lang w:val="en-US" w:eastAsia="zh-CN"/>
        </w:rPr>
        <w:t>177.45</w:t>
      </w:r>
      <w:r>
        <w:rPr>
          <w:rFonts w:hint="default" w:ascii="Times New Roman" w:hAnsi="Times New Roman" w:cs="Times New Roman"/>
          <w:sz w:val="24"/>
          <w:szCs w:val="24"/>
          <w:vertAlign w:val="baseline"/>
        </w:rPr>
        <w:t>米，办公室、车库、监控室、药品贮存间、隔离间501.84 平方米。</w:t>
      </w:r>
    </w:p>
    <w:p>
      <w:pPr>
        <w:spacing w:line="360" w:lineRule="auto"/>
        <w:ind w:firstLine="482" w:firstLineChars="200"/>
        <w:rPr>
          <w:rFonts w:hint="default" w:ascii="Times New Roman" w:hAnsi="Times New Roman" w:cs="Times New Roman"/>
          <w:b w:val="0"/>
          <w:bCs w:val="0"/>
          <w:sz w:val="24"/>
          <w:szCs w:val="24"/>
          <w:lang w:val="en-US" w:eastAsia="zh-CN"/>
        </w:rPr>
      </w:pPr>
      <w:r>
        <w:rPr>
          <w:rFonts w:hint="default" w:ascii="Times New Roman" w:hAnsi="Times New Roman" w:cs="Times New Roman"/>
          <w:b/>
          <w:bCs/>
          <w:sz w:val="24"/>
          <w:szCs w:val="24"/>
          <w:lang w:val="en-US" w:eastAsia="zh-CN"/>
        </w:rPr>
        <w:t>建设规模：</w:t>
      </w:r>
      <w:r>
        <w:rPr>
          <w:rFonts w:hint="default" w:ascii="Times New Roman" w:hAnsi="Times New Roman" w:cs="Times New Roman"/>
          <w:b w:val="0"/>
          <w:bCs w:val="0"/>
          <w:sz w:val="24"/>
          <w:szCs w:val="24"/>
          <w:lang w:val="en-US" w:eastAsia="zh-CN"/>
        </w:rPr>
        <w:t>本项目采用国内先进高温蒸汽处置技术，处理规模为年处理医疗废物500吨（正常状况下日处理医疗废物1吨，出现疫情或口岸医疗废物量较大等状况下日处理量6吨），主要处理感染性、损伤性医疗废物。</w:t>
      </w:r>
    </w:p>
    <w:p>
      <w:pPr>
        <w:pStyle w:val="2"/>
        <w:spacing w:line="360" w:lineRule="auto"/>
        <w:rPr>
          <w:sz w:val="24"/>
        </w:rPr>
      </w:pPr>
      <w:r>
        <w:rPr>
          <w:rFonts w:hint="default" w:ascii="Times New Roman" w:hAnsi="Times New Roman" w:cs="Times New Roman"/>
          <w:b/>
          <w:bCs/>
          <w:sz w:val="24"/>
          <w:szCs w:val="24"/>
          <w:lang w:val="en-US" w:eastAsia="zh-CN"/>
        </w:rPr>
        <w:t>建设地点</w:t>
      </w:r>
      <w:r>
        <w:rPr>
          <w:rFonts w:hint="default" w:ascii="Times New Roman" w:hAnsi="Times New Roman" w:cs="Times New Roman"/>
          <w:b w:val="0"/>
          <w:bCs w:val="0"/>
          <w:sz w:val="24"/>
          <w:szCs w:val="24"/>
          <w:lang w:val="en-US" w:eastAsia="zh-CN"/>
        </w:rPr>
        <w:t>：本项目建设地点位于阿尔山市生活垃圾填埋场西侧，占地属于建设用地，场址中心坐标为</w:t>
      </w:r>
      <w:r>
        <w:rPr>
          <w:rFonts w:hint="default" w:ascii="Times New Roman" w:hAnsi="Times New Roman" w:cs="Times New Roman"/>
          <w:color w:val="000000"/>
          <w:sz w:val="24"/>
        </w:rPr>
        <w:t>E11</w:t>
      </w:r>
      <w:r>
        <w:rPr>
          <w:rFonts w:hint="default" w:ascii="Times New Roman" w:hAnsi="Times New Roman" w:cs="Times New Roman"/>
          <w:color w:val="000000"/>
          <w:sz w:val="24"/>
          <w:lang w:val="en-US" w:eastAsia="zh-CN"/>
        </w:rPr>
        <w:t>9</w:t>
      </w:r>
      <w:r>
        <w:rPr>
          <w:rFonts w:hint="default" w:ascii="Times New Roman" w:hAnsi="Times New Roman" w:cs="Times New Roman"/>
          <w:color w:val="000000"/>
          <w:sz w:val="24"/>
        </w:rPr>
        <w:t>°</w:t>
      </w:r>
      <w:r>
        <w:rPr>
          <w:rFonts w:hint="default" w:ascii="Times New Roman" w:hAnsi="Times New Roman" w:cs="Times New Roman"/>
          <w:color w:val="000000"/>
          <w:sz w:val="24"/>
          <w:lang w:val="en-US" w:eastAsia="zh-CN"/>
        </w:rPr>
        <w:t>4859.105</w:t>
      </w:r>
      <w:r>
        <w:rPr>
          <w:rFonts w:hint="default" w:ascii="Times New Roman" w:hAnsi="Times New Roman" w:cs="Times New Roman"/>
          <w:color w:val="000000"/>
          <w:sz w:val="24"/>
        </w:rPr>
        <w:t xml:space="preserve">"；N </w:t>
      </w:r>
      <w:r>
        <w:rPr>
          <w:rFonts w:hint="default" w:ascii="Times New Roman" w:hAnsi="Times New Roman" w:cs="Times New Roman"/>
          <w:color w:val="000000"/>
          <w:sz w:val="24"/>
          <w:lang w:val="en-US" w:eastAsia="zh-CN"/>
        </w:rPr>
        <w:t>47</w:t>
      </w:r>
      <w:r>
        <w:rPr>
          <w:rFonts w:hint="default" w:ascii="Times New Roman" w:hAnsi="Times New Roman" w:cs="Times New Roman"/>
          <w:color w:val="000000"/>
          <w:sz w:val="24"/>
        </w:rPr>
        <w:t>°</w:t>
      </w:r>
      <w:r>
        <w:rPr>
          <w:rFonts w:hint="default" w:ascii="Times New Roman" w:hAnsi="Times New Roman" w:cs="Times New Roman"/>
          <w:color w:val="000000"/>
          <w:sz w:val="24"/>
          <w:lang w:val="en-US" w:eastAsia="zh-CN"/>
        </w:rPr>
        <w:t>14</w:t>
      </w:r>
      <w:r>
        <w:rPr>
          <w:rFonts w:hint="default" w:ascii="Times New Roman" w:hAnsi="Times New Roman" w:cs="Times New Roman"/>
          <w:color w:val="000000"/>
          <w:sz w:val="24"/>
        </w:rPr>
        <w:t>'</w:t>
      </w:r>
      <w:r>
        <w:rPr>
          <w:rFonts w:hint="default" w:ascii="Times New Roman" w:hAnsi="Times New Roman" w:cs="Times New Roman"/>
          <w:color w:val="000000"/>
          <w:sz w:val="24"/>
          <w:lang w:val="en-US" w:eastAsia="zh-CN"/>
        </w:rPr>
        <w:t>37.795</w:t>
      </w:r>
      <w:r>
        <w:rPr>
          <w:rFonts w:hint="default" w:ascii="Times New Roman" w:hAnsi="Times New Roman" w:cs="Times New Roman"/>
          <w:color w:val="000000"/>
          <w:sz w:val="24"/>
        </w:rPr>
        <w:t>"。详见项目四周现状图见3.1-1，项目地理位置图3.1-2。</w:t>
      </w:r>
    </w:p>
    <w:p>
      <w:pPr>
        <w:pStyle w:val="2"/>
        <w:spacing w:line="360" w:lineRule="auto"/>
        <w:rPr>
          <w:rFonts w:hint="eastAsia"/>
          <w:color w:val="000000"/>
          <w:sz w:val="24"/>
        </w:rPr>
      </w:pPr>
      <w:r>
        <w:rPr>
          <w:rFonts w:hint="eastAsia"/>
          <w:b/>
          <w:bCs/>
          <w:sz w:val="24"/>
          <w:szCs w:val="24"/>
          <w:lang w:val="en-US" w:eastAsia="zh-CN"/>
        </w:rPr>
        <w:t>项目投资</w:t>
      </w:r>
      <w:r>
        <w:rPr>
          <w:rFonts w:hint="eastAsia"/>
          <w:b w:val="0"/>
          <w:bCs w:val="0"/>
          <w:sz w:val="24"/>
          <w:szCs w:val="24"/>
          <w:lang w:val="en-US" w:eastAsia="zh-CN"/>
        </w:rPr>
        <w:t>：</w:t>
      </w:r>
      <w:r>
        <w:rPr>
          <w:rFonts w:hint="eastAsia"/>
          <w:bCs/>
          <w:color w:val="000000"/>
          <w:sz w:val="24"/>
        </w:rPr>
        <w:t>项目计划总投资</w:t>
      </w:r>
      <w:r>
        <w:rPr>
          <w:rFonts w:hint="eastAsia"/>
          <w:bCs/>
          <w:color w:val="000000"/>
          <w:sz w:val="24"/>
          <w:lang w:val="en-US" w:eastAsia="zh-CN"/>
        </w:rPr>
        <w:t>920</w:t>
      </w:r>
      <w:r>
        <w:rPr>
          <w:rFonts w:hint="eastAsia"/>
          <w:bCs/>
          <w:color w:val="000000"/>
          <w:sz w:val="24"/>
        </w:rPr>
        <w:t>.00 万元，</w:t>
      </w:r>
      <w:r>
        <w:rPr>
          <w:rFonts w:hint="eastAsia"/>
          <w:color w:val="000000"/>
          <w:sz w:val="24"/>
          <w:highlight w:val="none"/>
        </w:rPr>
        <w:t>其中</w:t>
      </w:r>
      <w:r>
        <w:rPr>
          <w:color w:val="000000"/>
          <w:sz w:val="24"/>
          <w:highlight w:val="none"/>
        </w:rPr>
        <w:t>环保投资</w:t>
      </w:r>
      <w:r>
        <w:rPr>
          <w:rFonts w:hint="eastAsia"/>
          <w:color w:val="000000"/>
          <w:sz w:val="24"/>
          <w:highlight w:val="none"/>
        </w:rPr>
        <w:t>为62.75</w:t>
      </w:r>
      <w:r>
        <w:rPr>
          <w:color w:val="000000"/>
          <w:sz w:val="24"/>
          <w:highlight w:val="none"/>
        </w:rPr>
        <w:t>万元，占总投资的</w:t>
      </w:r>
      <w:r>
        <w:rPr>
          <w:rFonts w:hint="eastAsia"/>
          <w:color w:val="000000"/>
          <w:sz w:val="24"/>
          <w:highlight w:val="none"/>
          <w:lang w:val="en-US" w:eastAsia="zh-CN"/>
        </w:rPr>
        <w:t>6.82</w:t>
      </w:r>
      <w:r>
        <w:rPr>
          <w:rFonts w:hint="eastAsia"/>
          <w:color w:val="000000"/>
          <w:sz w:val="24"/>
          <w:highlight w:val="none"/>
        </w:rPr>
        <w:t>%</w:t>
      </w:r>
      <w:r>
        <w:rPr>
          <w:rFonts w:hint="eastAsia"/>
          <w:color w:val="000000"/>
          <w:sz w:val="24"/>
        </w:rPr>
        <w:t>。</w:t>
      </w:r>
    </w:p>
    <w:p>
      <w:pPr>
        <w:pStyle w:val="2"/>
        <w:spacing w:line="360" w:lineRule="auto"/>
        <w:rPr>
          <w:rFonts w:hint="eastAsia"/>
          <w:b w:val="0"/>
          <w:bCs w:val="0"/>
          <w:sz w:val="24"/>
          <w:szCs w:val="24"/>
          <w:lang w:val="en-US" w:eastAsia="zh-CN"/>
        </w:rPr>
      </w:pPr>
      <w:r>
        <w:rPr>
          <w:rFonts w:hint="eastAsia"/>
          <w:b/>
          <w:bCs/>
          <w:sz w:val="24"/>
          <w:szCs w:val="24"/>
          <w:lang w:val="en-US" w:eastAsia="zh-CN"/>
        </w:rPr>
        <w:t>项目建设周期</w:t>
      </w:r>
      <w:r>
        <w:rPr>
          <w:rFonts w:hint="eastAsia"/>
          <w:b w:val="0"/>
          <w:bCs w:val="0"/>
          <w:sz w:val="24"/>
          <w:szCs w:val="24"/>
          <w:lang w:val="en-US" w:eastAsia="zh-CN"/>
        </w:rPr>
        <w:t>：2024年5月—2024年12月</w:t>
      </w:r>
    </w:p>
    <w:p>
      <w:pPr>
        <w:pStyle w:val="5"/>
        <w:spacing w:before="0" w:after="0" w:line="360" w:lineRule="auto"/>
        <w:rPr>
          <w:rFonts w:hint="default" w:ascii="Times New Roman" w:hAnsi="Times New Roman" w:eastAsia="宋体" w:cs="Times New Roman"/>
          <w:sz w:val="30"/>
          <w:szCs w:val="30"/>
        </w:rPr>
      </w:pPr>
      <w:bookmarkStart w:id="299" w:name="_Toc28078"/>
      <w:bookmarkStart w:id="300" w:name="_Toc27837"/>
      <w:r>
        <w:rPr>
          <w:rFonts w:hint="default" w:ascii="Times New Roman" w:hAnsi="Times New Roman" w:eastAsia="宋体" w:cs="Times New Roman"/>
          <w:sz w:val="30"/>
          <w:szCs w:val="30"/>
        </w:rPr>
        <w:t>9.2产业政策符合性</w:t>
      </w:r>
      <w:bookmarkEnd w:id="299"/>
      <w:bookmarkEnd w:id="300"/>
    </w:p>
    <w:p>
      <w:pPr>
        <w:pStyle w:val="6"/>
        <w:spacing w:before="0" w:after="0" w:line="360" w:lineRule="auto"/>
        <w:rPr>
          <w:kern w:val="0"/>
          <w:sz w:val="28"/>
        </w:rPr>
      </w:pPr>
      <w:bookmarkStart w:id="301" w:name="_Toc13425"/>
      <w:bookmarkStart w:id="302" w:name="_Toc21640"/>
      <w:r>
        <w:rPr>
          <w:rFonts w:hint="default" w:ascii="Times New Roman" w:hAnsi="Times New Roman" w:cs="Times New Roman"/>
          <w:kern w:val="0"/>
          <w:sz w:val="24"/>
          <w:szCs w:val="24"/>
        </w:rPr>
        <w:t>9.2.1与</w:t>
      </w:r>
      <w:r>
        <w:rPr>
          <w:rFonts w:hint="default" w:ascii="Times New Roman" w:hAnsi="Times New Roman" w:cs="Times New Roman"/>
          <w:kern w:val="0"/>
          <w:sz w:val="24"/>
          <w:szCs w:val="24"/>
          <w:lang w:val="zh-CN"/>
        </w:rPr>
        <w:t>《产业结构调整指导目录》</w:t>
      </w:r>
      <w:r>
        <w:rPr>
          <w:rFonts w:hint="default" w:ascii="Times New Roman" w:hAnsi="Times New Roman" w:cs="Times New Roman"/>
          <w:kern w:val="0"/>
          <w:sz w:val="24"/>
          <w:szCs w:val="24"/>
        </w:rPr>
        <w:t>符合性分析</w:t>
      </w:r>
      <w:bookmarkEnd w:id="301"/>
      <w:bookmarkEnd w:id="302"/>
    </w:p>
    <w:p>
      <w:pPr>
        <w:pStyle w:val="2"/>
        <w:spacing w:line="360" w:lineRule="auto"/>
        <w:rPr>
          <w:rFonts w:hint="eastAsia"/>
          <w:b w:val="0"/>
          <w:bCs w:val="0"/>
          <w:sz w:val="24"/>
          <w:szCs w:val="24"/>
          <w:lang w:val="en-US" w:eastAsia="zh-CN"/>
        </w:rPr>
      </w:pPr>
      <w:r>
        <w:rPr>
          <w:sz w:val="24"/>
          <w:lang w:val="zh-CN"/>
        </w:rPr>
        <w:t>本项目为</w:t>
      </w:r>
      <w:r>
        <w:rPr>
          <w:rFonts w:hint="eastAsia"/>
          <w:sz w:val="24"/>
        </w:rPr>
        <w:t>医疗垃圾处理中心建设项目</w:t>
      </w:r>
      <w:r>
        <w:rPr>
          <w:sz w:val="24"/>
          <w:lang w:val="zh-CN"/>
        </w:rPr>
        <w:t>，属于《</w:t>
      </w:r>
      <w:r>
        <w:rPr>
          <w:rFonts w:hint="eastAsia"/>
          <w:sz w:val="24"/>
          <w:lang w:val="zh-CN"/>
        </w:rPr>
        <w:t>产业结构调整指导目录（</w:t>
      </w:r>
      <w:r>
        <w:rPr>
          <w:rFonts w:hint="eastAsia"/>
          <w:sz w:val="24"/>
          <w:lang w:val="en-US" w:eastAsia="zh-CN"/>
        </w:rPr>
        <w:t>2024年本</w:t>
      </w:r>
      <w:r>
        <w:rPr>
          <w:rFonts w:hint="eastAsia"/>
          <w:sz w:val="24"/>
          <w:lang w:val="zh-CN"/>
        </w:rPr>
        <w:t>）</w:t>
      </w:r>
      <w:r>
        <w:rPr>
          <w:sz w:val="24"/>
          <w:lang w:val="zh-CN"/>
        </w:rPr>
        <w:t>》中</w:t>
      </w:r>
      <w:r>
        <w:rPr>
          <w:rFonts w:hint="eastAsia"/>
          <w:sz w:val="24"/>
          <w:lang w:val="zh-CN"/>
        </w:rPr>
        <w:t>“</w:t>
      </w:r>
      <w:r>
        <w:rPr>
          <w:sz w:val="24"/>
          <w:lang w:val="zh-CN"/>
        </w:rPr>
        <w:t>第四十三项</w:t>
      </w:r>
      <w:r>
        <w:rPr>
          <w:rFonts w:hint="eastAsia"/>
          <w:sz w:val="24"/>
          <w:lang w:val="zh-CN"/>
        </w:rPr>
        <w:t>、</w:t>
      </w:r>
      <w:r>
        <w:rPr>
          <w:sz w:val="24"/>
          <w:lang w:val="zh-CN"/>
        </w:rPr>
        <w:t>环境保护与资源节约综合利用</w:t>
      </w:r>
      <w:r>
        <w:rPr>
          <w:rFonts w:hint="eastAsia"/>
          <w:sz w:val="24"/>
        </w:rPr>
        <w:t>--8</w:t>
      </w:r>
      <w:r>
        <w:rPr>
          <w:rFonts w:hint="eastAsia"/>
          <w:sz w:val="24"/>
          <w:lang w:val="zh-CN"/>
        </w:rPr>
        <w:t>、</w:t>
      </w:r>
      <w:r>
        <w:rPr>
          <w:sz w:val="24"/>
          <w:lang w:val="zh-CN"/>
        </w:rPr>
        <w:t>危险废物（医疗废物）及含重金属废物安全处置技术设备开发制造及</w:t>
      </w:r>
      <w:r>
        <w:rPr>
          <w:rFonts w:hint="eastAsia"/>
          <w:sz w:val="24"/>
          <w:lang w:val="zh-CN"/>
        </w:rPr>
        <w:t>处理中心</w:t>
      </w:r>
      <w:r>
        <w:rPr>
          <w:sz w:val="24"/>
          <w:lang w:val="zh-CN"/>
        </w:rPr>
        <w:t>建设及运营；放射性废物、核设施退役工程安全处置技术设备开发制造及</w:t>
      </w:r>
      <w:r>
        <w:rPr>
          <w:rFonts w:hint="eastAsia"/>
          <w:sz w:val="24"/>
          <w:lang w:val="zh-CN"/>
        </w:rPr>
        <w:t>处理中心</w:t>
      </w:r>
      <w:r>
        <w:rPr>
          <w:sz w:val="24"/>
          <w:lang w:val="zh-CN"/>
        </w:rPr>
        <w:t>建设</w:t>
      </w:r>
      <w:r>
        <w:rPr>
          <w:rFonts w:hint="eastAsia"/>
          <w:sz w:val="24"/>
          <w:lang w:val="zh-CN"/>
        </w:rPr>
        <w:t>”中“</w:t>
      </w:r>
      <w:r>
        <w:rPr>
          <w:sz w:val="24"/>
          <w:lang w:val="zh-CN"/>
        </w:rPr>
        <w:t>危险废物（医疗废物）</w:t>
      </w:r>
      <w:r>
        <w:rPr>
          <w:rFonts w:hint="eastAsia"/>
          <w:sz w:val="24"/>
          <w:lang w:val="zh-CN"/>
        </w:rPr>
        <w:t>处理中心</w:t>
      </w:r>
      <w:r>
        <w:rPr>
          <w:sz w:val="24"/>
          <w:lang w:val="zh-CN"/>
        </w:rPr>
        <w:t>建设及运营</w:t>
      </w:r>
      <w:r>
        <w:rPr>
          <w:rFonts w:hint="eastAsia"/>
          <w:sz w:val="24"/>
          <w:lang w:val="zh-CN"/>
        </w:rPr>
        <w:t>”</w:t>
      </w:r>
      <w:r>
        <w:rPr>
          <w:sz w:val="24"/>
          <w:lang w:val="zh-CN"/>
        </w:rPr>
        <w:t>，属于鼓励类项目。</w:t>
      </w:r>
      <w:r>
        <w:rPr>
          <w:rFonts w:hint="eastAsia"/>
          <w:sz w:val="24"/>
        </w:rPr>
        <w:t>本项目于202</w:t>
      </w:r>
      <w:r>
        <w:rPr>
          <w:rFonts w:hint="eastAsia"/>
          <w:sz w:val="24"/>
          <w:lang w:val="en-US" w:eastAsia="zh-CN"/>
        </w:rPr>
        <w:t>3</w:t>
      </w:r>
      <w:r>
        <w:rPr>
          <w:rFonts w:hint="eastAsia"/>
          <w:sz w:val="24"/>
        </w:rPr>
        <w:t>年3月2日在</w:t>
      </w:r>
      <w:r>
        <w:rPr>
          <w:rFonts w:hint="eastAsia"/>
          <w:sz w:val="24"/>
          <w:lang w:val="en-US" w:eastAsia="zh-CN"/>
        </w:rPr>
        <w:t>阿尔山市</w:t>
      </w:r>
      <w:r>
        <w:rPr>
          <w:rFonts w:hint="eastAsia"/>
          <w:sz w:val="24"/>
        </w:rPr>
        <w:t>发展和改革委员会备案，备案文件编号为22</w:t>
      </w:r>
      <w:r>
        <w:rPr>
          <w:rFonts w:hint="eastAsia"/>
          <w:sz w:val="24"/>
          <w:lang w:val="en-US" w:eastAsia="zh-CN"/>
        </w:rPr>
        <w:t>12</w:t>
      </w:r>
      <w:r>
        <w:rPr>
          <w:rFonts w:hint="eastAsia"/>
          <w:sz w:val="24"/>
        </w:rPr>
        <w:t>-</w:t>
      </w:r>
      <w:r>
        <w:rPr>
          <w:rFonts w:hint="eastAsia"/>
          <w:sz w:val="24"/>
          <w:lang w:val="en-US" w:eastAsia="zh-CN"/>
        </w:rPr>
        <w:t>152202</w:t>
      </w:r>
      <w:r>
        <w:rPr>
          <w:rFonts w:hint="eastAsia"/>
          <w:sz w:val="24"/>
        </w:rPr>
        <w:t>-04-01-</w:t>
      </w:r>
      <w:r>
        <w:rPr>
          <w:rFonts w:hint="eastAsia"/>
          <w:sz w:val="24"/>
          <w:lang w:val="en-US" w:eastAsia="zh-CN"/>
        </w:rPr>
        <w:t>345980</w:t>
      </w:r>
      <w:r>
        <w:rPr>
          <w:rFonts w:hint="eastAsia"/>
          <w:sz w:val="24"/>
        </w:rPr>
        <w:t>，审批文号为</w:t>
      </w:r>
      <w:r>
        <w:rPr>
          <w:rFonts w:hint="eastAsia"/>
          <w:sz w:val="24"/>
          <w:lang w:val="en-US" w:eastAsia="zh-CN"/>
        </w:rPr>
        <w:t>阿</w:t>
      </w:r>
      <w:r>
        <w:rPr>
          <w:rFonts w:hint="eastAsia"/>
          <w:sz w:val="24"/>
        </w:rPr>
        <w:t>发改</w:t>
      </w:r>
      <w:r>
        <w:rPr>
          <w:rFonts w:hint="eastAsia"/>
          <w:sz w:val="24"/>
          <w:lang w:val="en-US" w:eastAsia="zh-CN"/>
        </w:rPr>
        <w:t>投</w:t>
      </w:r>
      <w:r>
        <w:rPr>
          <w:rFonts w:hint="eastAsia"/>
          <w:sz w:val="24"/>
        </w:rPr>
        <w:t>字（202</w:t>
      </w:r>
      <w:r>
        <w:rPr>
          <w:rFonts w:hint="eastAsia"/>
          <w:sz w:val="24"/>
          <w:lang w:val="en-US" w:eastAsia="zh-CN"/>
        </w:rPr>
        <w:t>3</w:t>
      </w:r>
      <w:r>
        <w:rPr>
          <w:rFonts w:hint="eastAsia"/>
          <w:sz w:val="24"/>
        </w:rPr>
        <w:t>）</w:t>
      </w:r>
      <w:r>
        <w:rPr>
          <w:rFonts w:hint="eastAsia"/>
          <w:sz w:val="24"/>
          <w:lang w:val="en-US" w:eastAsia="zh-CN"/>
        </w:rPr>
        <w:t>26</w:t>
      </w:r>
      <w:r>
        <w:rPr>
          <w:rFonts w:hint="eastAsia"/>
          <w:sz w:val="24"/>
        </w:rPr>
        <w:t>号，故项目符合</w:t>
      </w:r>
      <w:r>
        <w:rPr>
          <w:rFonts w:hint="eastAsia"/>
          <w:sz w:val="24"/>
          <w:lang w:val="en-US" w:eastAsia="zh-CN"/>
        </w:rPr>
        <w:t>阿尔山市产业</w:t>
      </w:r>
      <w:r>
        <w:rPr>
          <w:rFonts w:hint="eastAsia"/>
          <w:sz w:val="24"/>
        </w:rPr>
        <w:t>政策</w:t>
      </w:r>
      <w:r>
        <w:rPr>
          <w:sz w:val="24"/>
        </w:rPr>
        <w:t>。</w:t>
      </w:r>
    </w:p>
    <w:p>
      <w:pPr>
        <w:pStyle w:val="6"/>
        <w:spacing w:before="0" w:after="0" w:line="360" w:lineRule="auto"/>
        <w:rPr>
          <w:rFonts w:hint="default" w:ascii="Times New Roman" w:hAnsi="Times New Roman" w:cs="Times New Roman"/>
          <w:kern w:val="0"/>
          <w:sz w:val="24"/>
          <w:szCs w:val="24"/>
          <w:lang w:val="zh-CN"/>
        </w:rPr>
      </w:pPr>
      <w:bookmarkStart w:id="303" w:name="_Toc2810"/>
      <w:bookmarkStart w:id="304" w:name="_Toc21989"/>
      <w:r>
        <w:rPr>
          <w:rFonts w:hint="default" w:ascii="Times New Roman" w:hAnsi="Times New Roman" w:cs="Times New Roman"/>
          <w:kern w:val="0"/>
          <w:sz w:val="24"/>
          <w:szCs w:val="24"/>
          <w:lang w:val="zh-CN"/>
        </w:rPr>
        <w:t>9.</w:t>
      </w:r>
      <w:r>
        <w:rPr>
          <w:rFonts w:hint="default" w:ascii="Times New Roman" w:hAnsi="Times New Roman" w:cs="Times New Roman"/>
          <w:kern w:val="0"/>
          <w:sz w:val="24"/>
          <w:szCs w:val="24"/>
        </w:rPr>
        <w:t>2</w:t>
      </w:r>
      <w:r>
        <w:rPr>
          <w:rFonts w:hint="default" w:ascii="Times New Roman" w:hAnsi="Times New Roman" w:cs="Times New Roman"/>
          <w:kern w:val="0"/>
          <w:sz w:val="24"/>
          <w:szCs w:val="24"/>
          <w:lang w:val="zh-CN"/>
        </w:rPr>
        <w:t>.</w:t>
      </w:r>
      <w:r>
        <w:rPr>
          <w:rFonts w:hint="default" w:ascii="Times New Roman" w:hAnsi="Times New Roman" w:cs="Times New Roman"/>
          <w:kern w:val="0"/>
          <w:sz w:val="24"/>
          <w:szCs w:val="24"/>
        </w:rPr>
        <w:t>2</w:t>
      </w:r>
      <w:r>
        <w:rPr>
          <w:rFonts w:hint="default" w:ascii="Times New Roman" w:hAnsi="Times New Roman" w:cs="Times New Roman"/>
          <w:b/>
          <w:bCs/>
          <w:color w:val="auto"/>
          <w:sz w:val="24"/>
          <w:szCs w:val="24"/>
          <w:highlight w:val="none"/>
          <w:lang w:eastAsia="zh-CN"/>
        </w:rPr>
        <w:t>《医疗废物</w:t>
      </w:r>
      <w:r>
        <w:rPr>
          <w:rFonts w:hint="default" w:ascii="Times New Roman" w:hAnsi="Times New Roman" w:cs="Times New Roman"/>
          <w:b/>
          <w:bCs/>
          <w:color w:val="auto"/>
          <w:sz w:val="24"/>
          <w:szCs w:val="24"/>
          <w:highlight w:val="none"/>
          <w:lang w:val="en-US" w:eastAsia="zh-CN"/>
        </w:rPr>
        <w:t>高温蒸汽</w:t>
      </w:r>
      <w:r>
        <w:rPr>
          <w:rFonts w:hint="default" w:ascii="Times New Roman" w:hAnsi="Times New Roman" w:cs="Times New Roman"/>
          <w:b/>
          <w:bCs/>
          <w:color w:val="auto"/>
          <w:sz w:val="24"/>
          <w:szCs w:val="24"/>
          <w:highlight w:val="none"/>
          <w:lang w:eastAsia="zh-CN"/>
        </w:rPr>
        <w:t>消毒集中处理工程技术规范》</w:t>
      </w:r>
      <w:r>
        <w:rPr>
          <w:rFonts w:hint="default" w:ascii="Times New Roman" w:hAnsi="Times New Roman" w:cs="Times New Roman"/>
          <w:b/>
          <w:bCs/>
          <w:color w:val="auto"/>
          <w:sz w:val="24"/>
          <w:szCs w:val="24"/>
          <w:highlight w:val="none"/>
        </w:rPr>
        <w:t>（HJ</w:t>
      </w:r>
      <w:r>
        <w:rPr>
          <w:rFonts w:hint="default" w:ascii="Times New Roman" w:hAnsi="Times New Roman" w:cs="Times New Roman"/>
          <w:b/>
          <w:bCs/>
          <w:color w:val="auto"/>
          <w:sz w:val="24"/>
          <w:szCs w:val="24"/>
          <w:highlight w:val="none"/>
          <w:lang w:val="en-US" w:eastAsia="zh-CN"/>
        </w:rPr>
        <w:t>276</w:t>
      </w:r>
      <w:r>
        <w:rPr>
          <w:rFonts w:hint="default" w:ascii="Times New Roman" w:hAnsi="Times New Roman" w:cs="Times New Roman"/>
          <w:b/>
          <w:bCs/>
          <w:color w:val="auto"/>
          <w:sz w:val="24"/>
          <w:szCs w:val="24"/>
          <w:highlight w:val="none"/>
        </w:rPr>
        <w:t>-2021）</w:t>
      </w:r>
      <w:r>
        <w:rPr>
          <w:rFonts w:hint="default" w:ascii="Times New Roman" w:hAnsi="Times New Roman" w:cs="Times New Roman"/>
          <w:kern w:val="0"/>
          <w:sz w:val="24"/>
          <w:szCs w:val="24"/>
          <w:lang w:val="zh-CN"/>
        </w:rPr>
        <w:t>符合性分析</w:t>
      </w:r>
      <w:bookmarkEnd w:id="303"/>
      <w:bookmarkEnd w:id="304"/>
    </w:p>
    <w:p>
      <w:pPr>
        <w:pStyle w:val="2"/>
        <w:spacing w:line="360" w:lineRule="auto"/>
        <w:ind w:left="0" w:leftChars="0" w:firstLine="480" w:firstLineChars="200"/>
        <w:rPr>
          <w:rFonts w:hint="eastAsia"/>
          <w:b w:val="0"/>
          <w:bCs w:val="0"/>
          <w:sz w:val="24"/>
          <w:szCs w:val="24"/>
          <w:lang w:val="en-US" w:eastAsia="zh-CN"/>
        </w:rPr>
      </w:pPr>
      <w:r>
        <w:rPr>
          <w:rFonts w:hint="default" w:ascii="Times New Roman" w:hAnsi="Times New Roman" w:cs="Times New Roman"/>
          <w:sz w:val="24"/>
        </w:rPr>
        <w:t>按照本报告中表1</w:t>
      </w:r>
      <w:r>
        <w:rPr>
          <w:rFonts w:hint="eastAsia"/>
          <w:b w:val="0"/>
          <w:bCs w:val="0"/>
          <w:color w:val="auto"/>
          <w:sz w:val="24"/>
          <w:szCs w:val="24"/>
          <w:highlight w:val="none"/>
          <w:lang w:eastAsia="zh-CN"/>
        </w:rPr>
        <w:t>《医疗废物</w:t>
      </w:r>
      <w:r>
        <w:rPr>
          <w:rFonts w:hint="eastAsia"/>
          <w:b w:val="0"/>
          <w:bCs w:val="0"/>
          <w:color w:val="auto"/>
          <w:sz w:val="24"/>
          <w:szCs w:val="24"/>
          <w:highlight w:val="none"/>
          <w:lang w:val="en-US" w:eastAsia="zh-CN"/>
        </w:rPr>
        <w:t>高温蒸汽</w:t>
      </w:r>
      <w:r>
        <w:rPr>
          <w:rFonts w:hint="eastAsia"/>
          <w:b w:val="0"/>
          <w:bCs w:val="0"/>
          <w:color w:val="auto"/>
          <w:sz w:val="24"/>
          <w:szCs w:val="24"/>
          <w:highlight w:val="none"/>
          <w:lang w:eastAsia="zh-CN"/>
        </w:rPr>
        <w:t>消毒集中处理工程技术规范》</w:t>
      </w:r>
      <w:r>
        <w:rPr>
          <w:rFonts w:hint="eastAsia"/>
          <w:b w:val="0"/>
          <w:bCs w:val="0"/>
          <w:color w:val="auto"/>
          <w:sz w:val="24"/>
          <w:szCs w:val="24"/>
          <w:highlight w:val="none"/>
        </w:rPr>
        <w:t>（HJ</w:t>
      </w:r>
      <w:r>
        <w:rPr>
          <w:rFonts w:hint="eastAsia"/>
          <w:b w:val="0"/>
          <w:bCs w:val="0"/>
          <w:color w:val="auto"/>
          <w:sz w:val="24"/>
          <w:szCs w:val="24"/>
          <w:highlight w:val="none"/>
          <w:lang w:val="en-US" w:eastAsia="zh-CN"/>
        </w:rPr>
        <w:t>276</w:t>
      </w:r>
      <w:r>
        <w:rPr>
          <w:rFonts w:hint="eastAsia"/>
          <w:b w:val="0"/>
          <w:bCs w:val="0"/>
          <w:color w:val="auto"/>
          <w:sz w:val="24"/>
          <w:szCs w:val="24"/>
          <w:highlight w:val="none"/>
        </w:rPr>
        <w:t>-2021）</w:t>
      </w:r>
      <w:r>
        <w:rPr>
          <w:rFonts w:hint="default" w:ascii="Times New Roman" w:hAnsi="Times New Roman" w:cs="Times New Roman"/>
          <w:sz w:val="24"/>
        </w:rPr>
        <w:t>符合性分析，项目满足</w:t>
      </w:r>
      <w:r>
        <w:rPr>
          <w:rFonts w:hint="eastAsia"/>
          <w:b w:val="0"/>
          <w:bCs w:val="0"/>
          <w:color w:val="auto"/>
          <w:sz w:val="24"/>
          <w:szCs w:val="24"/>
          <w:highlight w:val="none"/>
          <w:lang w:eastAsia="zh-CN"/>
        </w:rPr>
        <w:t>《医疗废物</w:t>
      </w:r>
      <w:r>
        <w:rPr>
          <w:rFonts w:hint="eastAsia"/>
          <w:b w:val="0"/>
          <w:bCs w:val="0"/>
          <w:color w:val="auto"/>
          <w:sz w:val="24"/>
          <w:szCs w:val="24"/>
          <w:highlight w:val="none"/>
          <w:lang w:val="en-US" w:eastAsia="zh-CN"/>
        </w:rPr>
        <w:t>高温蒸汽</w:t>
      </w:r>
      <w:r>
        <w:rPr>
          <w:rFonts w:hint="eastAsia"/>
          <w:b w:val="0"/>
          <w:bCs w:val="0"/>
          <w:color w:val="auto"/>
          <w:sz w:val="24"/>
          <w:szCs w:val="24"/>
          <w:highlight w:val="none"/>
          <w:lang w:eastAsia="zh-CN"/>
        </w:rPr>
        <w:t>消毒集中处理工程技术规范》</w:t>
      </w:r>
      <w:r>
        <w:rPr>
          <w:rFonts w:hint="eastAsia"/>
          <w:b w:val="0"/>
          <w:bCs w:val="0"/>
          <w:color w:val="auto"/>
          <w:sz w:val="24"/>
          <w:szCs w:val="24"/>
          <w:highlight w:val="none"/>
        </w:rPr>
        <w:t>（HJ</w:t>
      </w:r>
      <w:r>
        <w:rPr>
          <w:rFonts w:hint="eastAsia"/>
          <w:b w:val="0"/>
          <w:bCs w:val="0"/>
          <w:color w:val="auto"/>
          <w:sz w:val="24"/>
          <w:szCs w:val="24"/>
          <w:highlight w:val="none"/>
          <w:lang w:val="en-US" w:eastAsia="zh-CN"/>
        </w:rPr>
        <w:t>276</w:t>
      </w:r>
      <w:r>
        <w:rPr>
          <w:rFonts w:hint="eastAsia"/>
          <w:b w:val="0"/>
          <w:bCs w:val="0"/>
          <w:color w:val="auto"/>
          <w:sz w:val="24"/>
          <w:szCs w:val="24"/>
          <w:highlight w:val="none"/>
        </w:rPr>
        <w:t>-2021）</w:t>
      </w:r>
      <w:r>
        <w:rPr>
          <w:rFonts w:hint="default" w:ascii="Times New Roman" w:hAnsi="Times New Roman" w:cs="Times New Roman"/>
          <w:sz w:val="24"/>
        </w:rPr>
        <w:t>中相关要求。</w:t>
      </w:r>
    </w:p>
    <w:p>
      <w:pPr>
        <w:spacing w:line="360" w:lineRule="auto"/>
        <w:rPr>
          <w:rFonts w:hint="default" w:ascii="Times New Roman" w:hAnsi="Times New Roman" w:cs="Times New Roman"/>
          <w:sz w:val="24"/>
        </w:rPr>
      </w:pPr>
      <w:r>
        <w:rPr>
          <w:rFonts w:hint="default" w:ascii="Times New Roman" w:hAnsi="Times New Roman" w:cs="Times New Roman"/>
          <w:b/>
          <w:bCs/>
          <w:kern w:val="0"/>
          <w:sz w:val="24"/>
          <w:lang w:val="zh-CN"/>
        </w:rPr>
        <w:t>9.</w:t>
      </w:r>
      <w:r>
        <w:rPr>
          <w:rFonts w:hint="default" w:ascii="Times New Roman" w:hAnsi="Times New Roman" w:cs="Times New Roman"/>
          <w:b/>
          <w:bCs/>
          <w:kern w:val="0"/>
          <w:sz w:val="24"/>
        </w:rPr>
        <w:t>2</w:t>
      </w:r>
      <w:r>
        <w:rPr>
          <w:rFonts w:hint="default" w:ascii="Times New Roman" w:hAnsi="Times New Roman" w:cs="Times New Roman"/>
          <w:b/>
          <w:bCs/>
          <w:kern w:val="0"/>
          <w:sz w:val="24"/>
          <w:lang w:val="zh-CN"/>
        </w:rPr>
        <w:t>.</w:t>
      </w:r>
      <w:r>
        <w:rPr>
          <w:rFonts w:hint="default" w:ascii="Times New Roman" w:hAnsi="Times New Roman" w:cs="Times New Roman"/>
          <w:b/>
          <w:bCs/>
          <w:kern w:val="0"/>
          <w:sz w:val="24"/>
        </w:rPr>
        <w:t>3《医疗废物处理处置污染控制标准》（GB39707--2020）符合性分析</w:t>
      </w:r>
    </w:p>
    <w:p>
      <w:pPr>
        <w:pStyle w:val="2"/>
        <w:spacing w:line="360" w:lineRule="auto"/>
        <w:ind w:left="0" w:leftChars="0" w:firstLine="480" w:firstLineChars="200"/>
        <w:rPr>
          <w:rFonts w:hint="eastAsia"/>
          <w:b w:val="0"/>
          <w:bCs w:val="0"/>
          <w:sz w:val="24"/>
          <w:szCs w:val="24"/>
          <w:lang w:val="en-US" w:eastAsia="zh-CN"/>
        </w:rPr>
      </w:pPr>
      <w:r>
        <w:rPr>
          <w:rFonts w:hint="default" w:ascii="Times New Roman" w:hAnsi="Times New Roman" w:cs="Times New Roman"/>
          <w:sz w:val="24"/>
        </w:rPr>
        <w:t>按照本报告中表2《医疗废物处理处置污染控制标准》（GB39707--2020）符合性</w:t>
      </w:r>
      <w:r>
        <w:rPr>
          <w:rFonts w:hint="default" w:ascii="Times New Roman" w:hAnsi="Times New Roman" w:cs="Times New Roman"/>
          <w:color w:val="000000"/>
          <w:sz w:val="24"/>
        </w:rPr>
        <w:t>分析，项目满足《医疗废物处理处置污染控制标准》（GB39707--2020）中相关要求。</w:t>
      </w:r>
    </w:p>
    <w:p>
      <w:pPr>
        <w:pStyle w:val="6"/>
        <w:spacing w:before="0" w:after="0" w:line="360" w:lineRule="auto"/>
        <w:rPr>
          <w:color w:val="000000"/>
          <w:kern w:val="0"/>
          <w:sz w:val="24"/>
          <w:szCs w:val="24"/>
        </w:rPr>
      </w:pPr>
      <w:bookmarkStart w:id="305" w:name="_Toc10840"/>
      <w:bookmarkStart w:id="306" w:name="_Toc16130"/>
      <w:r>
        <w:rPr>
          <w:rFonts w:hint="default" w:ascii="Times New Roman" w:hAnsi="Times New Roman" w:cs="Times New Roman"/>
          <w:color w:val="000000"/>
          <w:kern w:val="0"/>
          <w:sz w:val="24"/>
          <w:szCs w:val="24"/>
        </w:rPr>
        <w:t>9.2.</w:t>
      </w:r>
      <w:r>
        <w:rPr>
          <w:rFonts w:hint="default" w:ascii="Times New Roman" w:hAnsi="Times New Roman" w:cs="Times New Roman"/>
          <w:color w:val="000000"/>
          <w:kern w:val="0"/>
          <w:sz w:val="24"/>
          <w:szCs w:val="24"/>
          <w:lang w:val="en-US" w:eastAsia="zh-CN"/>
        </w:rPr>
        <w:t>4</w:t>
      </w:r>
      <w:r>
        <w:rPr>
          <w:rFonts w:hint="default" w:ascii="Times New Roman" w:hAnsi="Times New Roman" w:cs="Times New Roman"/>
          <w:color w:val="000000"/>
          <w:kern w:val="0"/>
          <w:sz w:val="24"/>
          <w:szCs w:val="24"/>
        </w:rPr>
        <w:t>与《医疗废物管理条例（2011年修订）》的符合性分析</w:t>
      </w:r>
      <w:bookmarkEnd w:id="305"/>
      <w:bookmarkEnd w:id="306"/>
    </w:p>
    <w:p>
      <w:pPr>
        <w:pStyle w:val="2"/>
        <w:spacing w:line="360" w:lineRule="auto"/>
        <w:ind w:left="0" w:leftChars="0" w:firstLine="480" w:firstLineChars="200"/>
        <w:rPr>
          <w:rFonts w:hint="default" w:eastAsiaTheme="minorEastAsia"/>
          <w:b w:val="0"/>
          <w:bCs w:val="0"/>
          <w:sz w:val="24"/>
          <w:szCs w:val="24"/>
          <w:lang w:val="en-US" w:eastAsia="zh-CN"/>
        </w:rPr>
      </w:pPr>
      <w:r>
        <w:rPr>
          <w:rFonts w:hint="default" w:ascii="Times New Roman" w:hAnsi="Times New Roman" w:eastAsia="宋体" w:cs="Times New Roman"/>
          <w:color w:val="000000"/>
          <w:sz w:val="24"/>
          <w:lang w:val="en-US" w:eastAsia="zh-CN"/>
        </w:rPr>
        <w:t>根据</w:t>
      </w:r>
      <w:r>
        <w:rPr>
          <w:rFonts w:hint="default" w:ascii="Times New Roman" w:hAnsi="Times New Roman" w:eastAsia="宋体" w:cs="Times New Roman"/>
          <w:sz w:val="24"/>
        </w:rPr>
        <w:t>《医疗废物管理条例（2011年修订）》</w:t>
      </w:r>
      <w:r>
        <w:rPr>
          <w:rFonts w:hint="default" w:ascii="Times New Roman" w:hAnsi="Times New Roman" w:eastAsia="宋体" w:cs="Times New Roman"/>
          <w:sz w:val="24"/>
          <w:lang w:val="en-US" w:eastAsia="zh-CN"/>
        </w:rPr>
        <w:t>相关要求，结合本项目特点及周边环境概况分析，本项目占地属于建设用地，位于阿尔山市生活垃圾填埋场西北侧370m处。按照2023年阿尔山市自然资源局发布《关于阿尔山市医疗废物处置中心建设项目符合规划的情况说明及选址意向方案》，本项目符合《阿尔山市城市总体规划（2012-2030）》，符合阿尔山市国土空间规划，且本项目符合</w:t>
      </w:r>
      <w:r>
        <w:rPr>
          <w:rFonts w:hint="default" w:ascii="Times New Roman" w:hAnsi="Times New Roman" w:eastAsia="宋体" w:cs="Times New Roman"/>
          <w:b w:val="0"/>
          <w:bCs w:val="0"/>
          <w:sz w:val="24"/>
          <w:szCs w:val="24"/>
          <w:lang w:val="en-US" w:eastAsia="zh-CN"/>
        </w:rPr>
        <w:t>《医疗废物高温蒸汽消毒集中处理工程技术规范》（HJ276-2021）</w:t>
      </w:r>
      <w:r>
        <w:rPr>
          <w:rFonts w:hint="default" w:ascii="Times New Roman" w:hAnsi="Times New Roman" w:cs="Times New Roman"/>
          <w:color w:val="000000"/>
          <w:sz w:val="24"/>
        </w:rPr>
        <w:t>中厂址宜选择在生活垃圾焚烧或填埋处置场所附近的要求</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距离项目最近的敏感点为北侧4km处伊尔施镇居民，厂界边界外扩5km范围内无水源地保护区，本项目卫生防护距离为100m，当前阿尔山市医疗废弃物收运处理体系无法保障重大疫情下的医疗废物处置，本项目的建设将对阿尔山市医疗废物无害化处理起到积极作用，因此</w:t>
      </w:r>
      <w:r>
        <w:rPr>
          <w:rFonts w:hint="default" w:ascii="Times New Roman" w:hAnsi="Times New Roman" w:cs="Times New Roman"/>
          <w:sz w:val="24"/>
        </w:rPr>
        <w:t>本项目的建设符合《医疗废物管理条例（2011年修订）》要求。</w:t>
      </w:r>
    </w:p>
    <w:p>
      <w:pPr>
        <w:pStyle w:val="6"/>
        <w:spacing w:before="0" w:after="0" w:line="360" w:lineRule="auto"/>
        <w:rPr>
          <w:rFonts w:hint="default" w:ascii="Times New Roman" w:hAnsi="Times New Roman" w:cs="Times New Roman"/>
          <w:kern w:val="0"/>
          <w:sz w:val="24"/>
          <w:szCs w:val="24"/>
        </w:rPr>
      </w:pPr>
      <w:bookmarkStart w:id="307" w:name="_Toc14593"/>
      <w:bookmarkStart w:id="308" w:name="_Toc13762"/>
      <w:r>
        <w:rPr>
          <w:rFonts w:hint="default" w:ascii="Times New Roman" w:hAnsi="Times New Roman" w:cs="Times New Roman"/>
          <w:kern w:val="0"/>
          <w:sz w:val="24"/>
          <w:szCs w:val="24"/>
        </w:rPr>
        <w:t>9.2.</w:t>
      </w:r>
      <w:r>
        <w:rPr>
          <w:rFonts w:hint="default" w:ascii="Times New Roman" w:hAnsi="Times New Roman" w:cs="Times New Roman"/>
          <w:kern w:val="0"/>
          <w:sz w:val="24"/>
          <w:szCs w:val="24"/>
          <w:lang w:val="en-US" w:eastAsia="zh-CN"/>
        </w:rPr>
        <w:t>5</w:t>
      </w:r>
      <w:r>
        <w:rPr>
          <w:rFonts w:hint="default" w:ascii="Times New Roman" w:hAnsi="Times New Roman" w:cs="Times New Roman"/>
          <w:sz w:val="24"/>
        </w:rPr>
        <w:t>《关于印发医疗机构废弃物综合治理工作方案的通知》国卫医发（2020）3号符合性分析</w:t>
      </w:r>
      <w:bookmarkEnd w:id="307"/>
      <w:bookmarkEnd w:id="308"/>
    </w:p>
    <w:p>
      <w:pPr>
        <w:pStyle w:val="2"/>
        <w:spacing w:line="360" w:lineRule="auto"/>
        <w:ind w:left="0" w:leftChars="0" w:firstLine="480" w:firstLineChars="200"/>
        <w:rPr>
          <w:rFonts w:hint="eastAsia"/>
          <w:b w:val="0"/>
          <w:bCs w:val="0"/>
          <w:sz w:val="24"/>
          <w:szCs w:val="24"/>
          <w:lang w:val="en-US" w:eastAsia="zh-CN"/>
        </w:rPr>
      </w:pPr>
      <w:r>
        <w:rPr>
          <w:rFonts w:hint="eastAsia"/>
          <w:sz w:val="24"/>
        </w:rPr>
        <w:t>本项目严格落实危险废物申报登记和管理计划备案要求，依法向生态环境部门申报医疗废物的种类、产生量、流向、贮存和处置等情况。项目接收感染性、损伤性医疗废物分类收集，使用专用包装，处理医疗废物当日转运，当日处理（设备维护5d暂存冷库），均不露天暂存。本项目配备</w:t>
      </w:r>
      <w:r>
        <w:rPr>
          <w:rFonts w:hint="eastAsia"/>
          <w:sz w:val="24"/>
          <w:lang w:val="en-US" w:eastAsia="zh-CN"/>
        </w:rPr>
        <w:t>3</w:t>
      </w:r>
      <w:r>
        <w:rPr>
          <w:rFonts w:hint="eastAsia"/>
          <w:sz w:val="24"/>
        </w:rPr>
        <w:t>量专用车辆转运医疗废物，至少每2d到医疗机构收集1次，并严格执行《危险废物转移管理办法》。</w:t>
      </w:r>
    </w:p>
    <w:p>
      <w:pPr>
        <w:pStyle w:val="6"/>
        <w:spacing w:before="0" w:after="0" w:line="360" w:lineRule="auto"/>
        <w:rPr>
          <w:rFonts w:hint="default" w:ascii="Times New Roman" w:hAnsi="Times New Roman" w:cs="Times New Roman"/>
          <w:kern w:val="0"/>
          <w:sz w:val="24"/>
          <w:szCs w:val="24"/>
        </w:rPr>
      </w:pPr>
      <w:bookmarkStart w:id="309" w:name="_Toc1453"/>
      <w:bookmarkStart w:id="310" w:name="_Toc3626"/>
      <w:r>
        <w:rPr>
          <w:rFonts w:hint="default" w:ascii="Times New Roman" w:hAnsi="Times New Roman" w:cs="Times New Roman"/>
          <w:kern w:val="0"/>
          <w:sz w:val="24"/>
          <w:szCs w:val="24"/>
        </w:rPr>
        <w:t>9.2.</w:t>
      </w:r>
      <w:r>
        <w:rPr>
          <w:rFonts w:hint="default" w:ascii="Times New Roman" w:hAnsi="Times New Roman" w:cs="Times New Roman"/>
          <w:kern w:val="0"/>
          <w:sz w:val="24"/>
          <w:szCs w:val="24"/>
          <w:lang w:val="en-US" w:eastAsia="zh-CN"/>
        </w:rPr>
        <w:t>6</w:t>
      </w:r>
      <w:r>
        <w:rPr>
          <w:rFonts w:hint="default" w:ascii="Times New Roman" w:hAnsi="Times New Roman" w:cs="Times New Roman"/>
          <w:kern w:val="0"/>
          <w:sz w:val="24"/>
          <w:szCs w:val="24"/>
        </w:rPr>
        <w:t>与《内蒙古自治区“十四五”危险废物集中处置设施建设规划》符性分析</w:t>
      </w:r>
      <w:bookmarkEnd w:id="309"/>
      <w:bookmarkEnd w:id="310"/>
    </w:p>
    <w:p>
      <w:pPr>
        <w:autoSpaceDE w:val="0"/>
        <w:autoSpaceDN w:val="0"/>
        <w:adjustRightIn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按照《内蒙古自治区“十四五”危险废物集中处置设施建设规划》中规划目标，全区医疗废物基本实现无害化处置，补齐医疗废物处置设施短板，县级以上城市建成区医疗废物无害化处置率达到99%以上，各旗县人民政府要明确1座协同应急处置设施。各盟市要建立医疗废物应急处置设施清单，明确设施应急状态的管理流程和规则。到2023年，各旗县（市、区）要结合实际，统筹本旗县（市、区）的危险废物焚烧、生活垃圾焚烧发电、水泥窑、工业窑炉、移动式医疗废物处置设备等设施资源，明确在应急状态下可用于临时处置医疗废物的单位和设施。</w:t>
      </w:r>
    </w:p>
    <w:p>
      <w:pPr>
        <w:pStyle w:val="2"/>
        <w:spacing w:line="360" w:lineRule="auto"/>
        <w:ind w:left="0" w:leftChars="0" w:firstLine="480" w:firstLineChars="200"/>
        <w:rPr>
          <w:rFonts w:hint="eastAsia"/>
          <w:b w:val="0"/>
          <w:bCs w:val="0"/>
          <w:sz w:val="24"/>
          <w:szCs w:val="24"/>
          <w:lang w:val="en-US" w:eastAsia="zh-CN"/>
        </w:rPr>
      </w:pPr>
      <w:r>
        <w:rPr>
          <w:rFonts w:hint="default" w:ascii="Times New Roman" w:hAnsi="Times New Roman" w:cs="Times New Roman"/>
          <w:sz w:val="24"/>
        </w:rPr>
        <w:t>故本</w:t>
      </w:r>
      <w:r>
        <w:rPr>
          <w:rFonts w:hint="default" w:ascii="Times New Roman" w:hAnsi="Times New Roman" w:cs="Times New Roman"/>
          <w:color w:val="000000"/>
          <w:sz w:val="24"/>
        </w:rPr>
        <w:t>项目满足《内蒙古自治区“十四五”危险废物集中处置设施建设规划》中规划。</w:t>
      </w:r>
    </w:p>
    <w:p>
      <w:pPr>
        <w:pStyle w:val="5"/>
        <w:spacing w:before="0" w:after="0" w:line="360" w:lineRule="auto"/>
        <w:rPr>
          <w:rFonts w:hint="eastAsia" w:ascii="Times New Roman" w:hAnsi="Times New Roman" w:eastAsia="宋体"/>
          <w:color w:val="000000"/>
          <w:sz w:val="30"/>
          <w:szCs w:val="30"/>
        </w:rPr>
      </w:pPr>
      <w:bookmarkStart w:id="311" w:name="_Toc14564"/>
      <w:bookmarkStart w:id="312" w:name="_Toc5674"/>
      <w:r>
        <w:rPr>
          <w:rFonts w:hint="eastAsia" w:ascii="Times New Roman" w:hAnsi="Times New Roman" w:eastAsia="宋体"/>
          <w:color w:val="000000"/>
          <w:sz w:val="30"/>
          <w:szCs w:val="30"/>
        </w:rPr>
        <w:t>9.3选址合理性分析</w:t>
      </w:r>
      <w:bookmarkEnd w:id="311"/>
      <w:bookmarkEnd w:id="312"/>
    </w:p>
    <w:p>
      <w:pPr>
        <w:pStyle w:val="2"/>
        <w:spacing w:line="360" w:lineRule="auto"/>
        <w:ind w:left="0" w:leftChars="0" w:firstLine="480" w:firstLineChars="200"/>
        <w:rPr>
          <w:rFonts w:hint="eastAsia" w:eastAsiaTheme="minorEastAsia"/>
          <w:b w:val="0"/>
          <w:bCs w:val="0"/>
          <w:sz w:val="24"/>
          <w:szCs w:val="24"/>
          <w:lang w:val="en-US" w:eastAsia="zh-CN"/>
        </w:rPr>
      </w:pPr>
      <w:r>
        <w:rPr>
          <w:rFonts w:hint="eastAsia"/>
          <w:color w:val="000000"/>
          <w:sz w:val="24"/>
        </w:rPr>
        <w:t>本项目</w:t>
      </w:r>
      <w:r>
        <w:rPr>
          <w:rFonts w:hint="eastAsia"/>
          <w:color w:val="000000"/>
          <w:sz w:val="24"/>
          <w:szCs w:val="24"/>
        </w:rPr>
        <w:t>占地属于</w:t>
      </w:r>
      <w:r>
        <w:rPr>
          <w:color w:val="000000"/>
          <w:sz w:val="24"/>
          <w:szCs w:val="24"/>
        </w:rPr>
        <w:t>建设用地，原为</w:t>
      </w:r>
      <w:r>
        <w:rPr>
          <w:rFonts w:hint="eastAsia"/>
          <w:color w:val="000000"/>
          <w:sz w:val="24"/>
          <w:szCs w:val="24"/>
          <w:lang w:val="en-US" w:eastAsia="zh-CN"/>
        </w:rPr>
        <w:t>阿尔山市</w:t>
      </w:r>
      <w:r>
        <w:rPr>
          <w:rFonts w:hint="eastAsia"/>
          <w:color w:val="000000"/>
          <w:sz w:val="24"/>
          <w:szCs w:val="24"/>
        </w:rPr>
        <w:t>生活</w:t>
      </w:r>
      <w:r>
        <w:rPr>
          <w:color w:val="000000"/>
          <w:sz w:val="24"/>
          <w:szCs w:val="24"/>
        </w:rPr>
        <w:t>垃圾</w:t>
      </w:r>
      <w:r>
        <w:rPr>
          <w:rFonts w:hint="eastAsia"/>
          <w:color w:val="000000"/>
          <w:sz w:val="24"/>
          <w:szCs w:val="24"/>
        </w:rPr>
        <w:t>填埋场规划</w:t>
      </w:r>
      <w:r>
        <w:rPr>
          <w:color w:val="000000"/>
          <w:sz w:val="24"/>
          <w:szCs w:val="24"/>
        </w:rPr>
        <w:t>用地，</w:t>
      </w:r>
      <w:r>
        <w:rPr>
          <w:rFonts w:hint="eastAsia"/>
          <w:color w:val="000000"/>
          <w:sz w:val="24"/>
          <w:szCs w:val="24"/>
        </w:rPr>
        <w:t>现</w:t>
      </w:r>
      <w:r>
        <w:rPr>
          <w:color w:val="000000"/>
          <w:sz w:val="24"/>
          <w:szCs w:val="24"/>
        </w:rPr>
        <w:t>分割出一</w:t>
      </w:r>
      <w:r>
        <w:rPr>
          <w:rFonts w:hint="eastAsia"/>
          <w:color w:val="000000"/>
          <w:sz w:val="24"/>
          <w:szCs w:val="24"/>
        </w:rPr>
        <w:t>部分</w:t>
      </w:r>
      <w:r>
        <w:rPr>
          <w:color w:val="000000"/>
          <w:sz w:val="24"/>
          <w:szCs w:val="24"/>
        </w:rPr>
        <w:t>用</w:t>
      </w:r>
      <w:r>
        <w:rPr>
          <w:rFonts w:hint="eastAsia"/>
          <w:color w:val="000000"/>
          <w:sz w:val="24"/>
          <w:szCs w:val="24"/>
        </w:rPr>
        <w:t>于</w:t>
      </w:r>
      <w:r>
        <w:rPr>
          <w:color w:val="000000"/>
          <w:sz w:val="24"/>
          <w:szCs w:val="24"/>
        </w:rPr>
        <w:t>本项目</w:t>
      </w:r>
      <w:r>
        <w:rPr>
          <w:rFonts w:hint="eastAsia"/>
          <w:color w:val="000000"/>
          <w:sz w:val="24"/>
          <w:szCs w:val="24"/>
        </w:rPr>
        <w:t>建设</w:t>
      </w:r>
      <w:r>
        <w:rPr>
          <w:rFonts w:hint="eastAsia"/>
          <w:color w:val="000000"/>
          <w:sz w:val="24"/>
          <w:szCs w:val="24"/>
          <w:lang w:eastAsia="zh-CN"/>
        </w:rPr>
        <w:t>。</w:t>
      </w:r>
      <w:r>
        <w:rPr>
          <w:rFonts w:hint="default" w:ascii="Times New Roman" w:hAnsi="Times New Roman" w:eastAsia="宋体" w:cs="Times New Roman"/>
          <w:sz w:val="24"/>
          <w:lang w:val="en-US" w:eastAsia="zh-CN"/>
        </w:rPr>
        <w:t>按照2023年阿尔山市自然资源局发布《关于阿尔山市医疗废物处置中心建设项目符合规划的情况说明及选址意向方案》，本项目符合《阿尔山市城市总体规划（2012-2030）》，符合阿尔山市国土空间规划，且本项目符合</w:t>
      </w:r>
      <w:r>
        <w:rPr>
          <w:rFonts w:hint="default" w:ascii="Times New Roman" w:hAnsi="Times New Roman" w:eastAsia="宋体" w:cs="Times New Roman"/>
          <w:b w:val="0"/>
          <w:bCs w:val="0"/>
          <w:sz w:val="24"/>
          <w:szCs w:val="24"/>
          <w:lang w:val="en-US" w:eastAsia="zh-CN"/>
        </w:rPr>
        <w:t>《医疗废物高温蒸汽消毒集中处理工程技术规范》（HJ276-2021）</w:t>
      </w:r>
      <w:r>
        <w:rPr>
          <w:rFonts w:hint="default" w:ascii="Times New Roman" w:hAnsi="Times New Roman" w:cs="Times New Roman"/>
          <w:color w:val="000000"/>
          <w:sz w:val="24"/>
        </w:rPr>
        <w:t>中厂址宜选择在生活垃圾焚烧或填埋处置场所附近的要求</w:t>
      </w:r>
      <w:r>
        <w:rPr>
          <w:rFonts w:hint="default" w:ascii="Times New Roman" w:hAnsi="Times New Roman" w:cs="Times New Roman"/>
          <w:color w:val="000000"/>
          <w:sz w:val="24"/>
          <w:lang w:eastAsia="zh-CN"/>
        </w:rPr>
        <w:t>。</w:t>
      </w:r>
      <w:r>
        <w:rPr>
          <w:color w:val="000000"/>
          <w:sz w:val="24"/>
        </w:rPr>
        <w:t>因此从环境影响角度分析，该项目选址基本合理。</w:t>
      </w:r>
    </w:p>
    <w:p>
      <w:pPr>
        <w:pStyle w:val="5"/>
        <w:spacing w:before="0" w:after="0" w:line="360" w:lineRule="auto"/>
        <w:rPr>
          <w:rFonts w:ascii="ËÎÌå" w:hAnsi="ËÎÌå" w:cs="ËÎÌå"/>
          <w:color w:val="000000"/>
          <w:kern w:val="0"/>
          <w:sz w:val="24"/>
        </w:rPr>
      </w:pPr>
      <w:bookmarkStart w:id="313" w:name="_Toc2558"/>
      <w:bookmarkStart w:id="314" w:name="_Toc13554"/>
      <w:r>
        <w:rPr>
          <w:rFonts w:hint="eastAsia" w:ascii="Times New Roman" w:hAnsi="Times New Roman" w:eastAsia="宋体"/>
          <w:color w:val="000000"/>
          <w:sz w:val="30"/>
          <w:szCs w:val="30"/>
        </w:rPr>
        <w:t>9.4“三线一单”符合性</w:t>
      </w:r>
      <w:r>
        <w:rPr>
          <w:rFonts w:ascii="Times New Roman" w:hAnsi="Times New Roman" w:eastAsia="宋体"/>
          <w:color w:val="000000"/>
          <w:sz w:val="30"/>
          <w:szCs w:val="30"/>
        </w:rPr>
        <w:t>分析</w:t>
      </w:r>
      <w:bookmarkEnd w:id="313"/>
      <w:bookmarkEnd w:id="314"/>
    </w:p>
    <w:p>
      <w:pPr>
        <w:pStyle w:val="2"/>
        <w:spacing w:line="360" w:lineRule="auto"/>
        <w:ind w:left="0" w:leftChars="0" w:firstLine="480" w:firstLineChars="200"/>
        <w:rPr>
          <w:rFonts w:hint="eastAsia"/>
          <w:b w:val="0"/>
          <w:bCs w:val="0"/>
          <w:sz w:val="24"/>
          <w:szCs w:val="24"/>
          <w:lang w:val="en-US" w:eastAsia="zh-CN"/>
        </w:rPr>
      </w:pPr>
      <w:r>
        <w:rPr>
          <w:rFonts w:hint="eastAsia"/>
          <w:color w:val="000000"/>
          <w:sz w:val="24"/>
        </w:rPr>
        <w:t>本项目</w:t>
      </w:r>
      <w:r>
        <w:rPr>
          <w:rFonts w:hint="eastAsia"/>
          <w:color w:val="000000"/>
          <w:sz w:val="24"/>
          <w:szCs w:val="24"/>
        </w:rPr>
        <w:t>占地属于</w:t>
      </w:r>
      <w:r>
        <w:rPr>
          <w:color w:val="000000"/>
          <w:sz w:val="24"/>
          <w:szCs w:val="24"/>
        </w:rPr>
        <w:t>建设用地，原为</w:t>
      </w:r>
      <w:r>
        <w:rPr>
          <w:rFonts w:hint="eastAsia"/>
          <w:color w:val="000000"/>
          <w:sz w:val="24"/>
          <w:szCs w:val="24"/>
          <w:lang w:val="en-US" w:eastAsia="zh-CN"/>
        </w:rPr>
        <w:t>阿尔山市</w:t>
      </w:r>
      <w:r>
        <w:rPr>
          <w:rFonts w:hint="eastAsia"/>
          <w:color w:val="000000"/>
          <w:sz w:val="24"/>
          <w:szCs w:val="24"/>
        </w:rPr>
        <w:t>生活</w:t>
      </w:r>
      <w:r>
        <w:rPr>
          <w:color w:val="000000"/>
          <w:sz w:val="24"/>
          <w:szCs w:val="24"/>
        </w:rPr>
        <w:t>垃圾</w:t>
      </w:r>
      <w:r>
        <w:rPr>
          <w:rFonts w:hint="eastAsia"/>
          <w:color w:val="000000"/>
          <w:sz w:val="24"/>
          <w:szCs w:val="24"/>
        </w:rPr>
        <w:t>填埋场规划</w:t>
      </w:r>
      <w:r>
        <w:rPr>
          <w:color w:val="000000"/>
          <w:sz w:val="24"/>
          <w:szCs w:val="24"/>
        </w:rPr>
        <w:t>用地，</w:t>
      </w:r>
      <w:r>
        <w:rPr>
          <w:rFonts w:hint="eastAsia"/>
          <w:color w:val="000000"/>
          <w:sz w:val="24"/>
          <w:szCs w:val="24"/>
        </w:rPr>
        <w:t>现</w:t>
      </w:r>
      <w:r>
        <w:rPr>
          <w:color w:val="000000"/>
          <w:sz w:val="24"/>
          <w:szCs w:val="24"/>
        </w:rPr>
        <w:t>分割出一</w:t>
      </w:r>
      <w:r>
        <w:rPr>
          <w:rFonts w:hint="eastAsia"/>
          <w:color w:val="000000"/>
          <w:sz w:val="24"/>
          <w:szCs w:val="24"/>
        </w:rPr>
        <w:t>部分</w:t>
      </w:r>
      <w:r>
        <w:rPr>
          <w:color w:val="000000"/>
          <w:sz w:val="24"/>
          <w:szCs w:val="24"/>
        </w:rPr>
        <w:t>用</w:t>
      </w:r>
      <w:r>
        <w:rPr>
          <w:rFonts w:hint="eastAsia"/>
          <w:color w:val="000000"/>
          <w:sz w:val="24"/>
          <w:szCs w:val="24"/>
        </w:rPr>
        <w:t>于</w:t>
      </w:r>
      <w:r>
        <w:rPr>
          <w:color w:val="000000"/>
          <w:sz w:val="24"/>
          <w:szCs w:val="24"/>
        </w:rPr>
        <w:t>本项目</w:t>
      </w:r>
      <w:r>
        <w:rPr>
          <w:rFonts w:hint="eastAsia"/>
          <w:color w:val="000000"/>
          <w:sz w:val="24"/>
          <w:szCs w:val="24"/>
        </w:rPr>
        <w:t>建设</w:t>
      </w:r>
      <w:r>
        <w:rPr>
          <w:rFonts w:hint="eastAsia"/>
          <w:color w:val="000000"/>
          <w:sz w:val="24"/>
          <w:szCs w:val="24"/>
          <w:lang w:eastAsia="zh-CN"/>
        </w:rPr>
        <w:t>。</w:t>
      </w:r>
      <w:r>
        <w:rPr>
          <w:rFonts w:ascii="宋体" w:hAnsi="宋体" w:cs="宋体"/>
          <w:color w:val="000000"/>
          <w:sz w:val="24"/>
        </w:rPr>
        <w:t>项目不在生态红线</w:t>
      </w:r>
      <w:r>
        <w:rPr>
          <w:rFonts w:hint="eastAsia" w:ascii="宋体" w:hAnsi="宋体" w:cs="宋体"/>
          <w:color w:val="000000"/>
          <w:sz w:val="24"/>
        </w:rPr>
        <w:t>划定</w:t>
      </w:r>
      <w:r>
        <w:rPr>
          <w:rFonts w:ascii="宋体" w:hAnsi="宋体" w:cs="宋体"/>
          <w:color w:val="000000"/>
          <w:sz w:val="24"/>
        </w:rPr>
        <w:t>范围内，符合生态保护红线要求</w:t>
      </w:r>
      <w:r>
        <w:rPr>
          <w:rFonts w:hint="eastAsia" w:ascii="宋体" w:hAnsi="宋体" w:cs="宋体"/>
          <w:color w:val="000000"/>
          <w:sz w:val="24"/>
        </w:rPr>
        <w:t>。运营期生产生活用水由</w:t>
      </w:r>
      <w:r>
        <w:rPr>
          <w:rFonts w:hint="eastAsia" w:ascii="宋体" w:hAnsi="宋体" w:cs="宋体"/>
          <w:color w:val="000000"/>
          <w:sz w:val="24"/>
          <w:lang w:val="en-US" w:eastAsia="zh-CN"/>
        </w:rPr>
        <w:t>自有水井供给</w:t>
      </w:r>
      <w:r>
        <w:rPr>
          <w:rFonts w:ascii="宋体" w:hAnsi="宋体" w:cs="宋体"/>
          <w:color w:val="000000"/>
          <w:sz w:val="24"/>
        </w:rPr>
        <w:t>，</w:t>
      </w:r>
      <w:r>
        <w:rPr>
          <w:rFonts w:hint="eastAsia" w:ascii="宋体" w:hAnsi="宋体" w:cs="宋体"/>
          <w:color w:val="000000"/>
          <w:sz w:val="24"/>
        </w:rPr>
        <w:t>且用水量较小，</w:t>
      </w:r>
      <w:r>
        <w:rPr>
          <w:rFonts w:hint="eastAsia"/>
          <w:color w:val="000000"/>
          <w:sz w:val="24"/>
        </w:rPr>
        <w:t>用电</w:t>
      </w:r>
      <w:r>
        <w:rPr>
          <w:rFonts w:hint="eastAsia"/>
          <w:bCs/>
          <w:color w:val="000000"/>
          <w:sz w:val="24"/>
        </w:rPr>
        <w:t>依托</w:t>
      </w:r>
      <w:r>
        <w:rPr>
          <w:rFonts w:hint="eastAsia"/>
          <w:color w:val="000000"/>
          <w:sz w:val="24"/>
          <w:lang w:val="en-US" w:eastAsia="zh-CN"/>
        </w:rPr>
        <w:t>阿尔山市生活垃圾填埋场</w:t>
      </w:r>
      <w:r>
        <w:rPr>
          <w:rFonts w:hint="eastAsia"/>
          <w:color w:val="000000"/>
          <w:sz w:val="24"/>
        </w:rPr>
        <w:t>供电系统</w:t>
      </w:r>
      <w:r>
        <w:rPr>
          <w:rFonts w:hint="eastAsia" w:ascii="宋体" w:hAnsi="宋体" w:cs="宋体"/>
          <w:color w:val="000000"/>
          <w:sz w:val="24"/>
        </w:rPr>
        <w:t>，不会突破项目所在区域资源利用上线；项目的“三废”均得到合理处理和处置，对周边环境造成的影响较小，不会对区域环境质量底线造成冲击；本项目不属于环境准入负面清单中禁止准入的项目。因此，项目建设满足国家关于“生态保护红线、环境质量底线、资源消耗上线、生态环境准入清单”相关要求</w:t>
      </w:r>
      <w:r>
        <w:rPr>
          <w:color w:val="000000"/>
          <w:sz w:val="24"/>
        </w:rPr>
        <w:t>。</w:t>
      </w:r>
    </w:p>
    <w:p>
      <w:pPr>
        <w:pStyle w:val="5"/>
        <w:spacing w:before="0" w:after="0" w:line="360" w:lineRule="auto"/>
        <w:rPr>
          <w:rFonts w:hint="eastAsia" w:ascii="Times New Roman" w:hAnsi="Times New Roman" w:eastAsia="宋体"/>
          <w:color w:val="000000"/>
          <w:sz w:val="30"/>
          <w:szCs w:val="30"/>
        </w:rPr>
      </w:pPr>
      <w:bookmarkStart w:id="315" w:name="_Toc29472"/>
      <w:bookmarkStart w:id="316" w:name="_Toc24028"/>
      <w:r>
        <w:rPr>
          <w:rFonts w:hint="eastAsia" w:ascii="Times New Roman" w:hAnsi="Times New Roman" w:eastAsia="宋体"/>
          <w:color w:val="000000"/>
          <w:sz w:val="30"/>
          <w:szCs w:val="30"/>
        </w:rPr>
        <w:t>9.5《</w:t>
      </w:r>
      <w:r>
        <w:rPr>
          <w:rFonts w:hint="eastAsia" w:ascii="Times New Roman" w:hAnsi="Times New Roman" w:eastAsia="宋体"/>
          <w:color w:val="000000"/>
          <w:sz w:val="30"/>
          <w:szCs w:val="30"/>
          <w:lang w:val="en-US" w:eastAsia="zh-CN"/>
        </w:rPr>
        <w:t>阿尔山市</w:t>
      </w:r>
      <w:r>
        <w:rPr>
          <w:rFonts w:hint="eastAsia" w:ascii="Times New Roman" w:hAnsi="Times New Roman" w:eastAsia="宋体"/>
          <w:color w:val="000000"/>
          <w:sz w:val="30"/>
          <w:szCs w:val="30"/>
        </w:rPr>
        <w:t>城市总体规划（201</w:t>
      </w:r>
      <w:r>
        <w:rPr>
          <w:rFonts w:hint="eastAsia" w:ascii="Times New Roman" w:hAnsi="Times New Roman" w:eastAsia="宋体"/>
          <w:color w:val="000000"/>
          <w:sz w:val="30"/>
          <w:szCs w:val="30"/>
          <w:lang w:val="en-US" w:eastAsia="zh-CN"/>
        </w:rPr>
        <w:t>2</w:t>
      </w:r>
      <w:r>
        <w:rPr>
          <w:rFonts w:hint="eastAsia" w:ascii="Times New Roman" w:hAnsi="Times New Roman" w:eastAsia="宋体"/>
          <w:color w:val="000000"/>
          <w:sz w:val="30"/>
          <w:szCs w:val="30"/>
        </w:rPr>
        <w:t>-2030）》符合性分析</w:t>
      </w:r>
      <w:bookmarkEnd w:id="315"/>
      <w:bookmarkEnd w:id="316"/>
    </w:p>
    <w:p>
      <w:pPr>
        <w:pStyle w:val="2"/>
        <w:spacing w:line="360" w:lineRule="auto"/>
        <w:ind w:left="0" w:leftChars="0" w:firstLine="480" w:firstLineChars="200"/>
        <w:rPr>
          <w:rFonts w:hint="eastAsia"/>
          <w:b w:val="0"/>
          <w:bCs w:val="0"/>
          <w:sz w:val="24"/>
          <w:szCs w:val="24"/>
          <w:lang w:val="en-US" w:eastAsia="zh-CN"/>
        </w:rPr>
      </w:pPr>
      <w:r>
        <w:rPr>
          <w:rFonts w:hint="eastAsia"/>
          <w:color w:val="000000"/>
          <w:sz w:val="24"/>
        </w:rPr>
        <w:t>本</w:t>
      </w:r>
      <w:r>
        <w:rPr>
          <w:rFonts w:hint="eastAsia"/>
          <w:color w:val="000000"/>
          <w:sz w:val="24"/>
          <w:szCs w:val="24"/>
        </w:rPr>
        <w:t>项目占地属于</w:t>
      </w:r>
      <w:r>
        <w:rPr>
          <w:color w:val="000000"/>
          <w:sz w:val="24"/>
          <w:szCs w:val="24"/>
        </w:rPr>
        <w:t>建设用地，原为</w:t>
      </w:r>
      <w:r>
        <w:rPr>
          <w:rFonts w:hint="eastAsia"/>
          <w:color w:val="000000"/>
          <w:sz w:val="24"/>
          <w:szCs w:val="24"/>
          <w:lang w:val="en-US" w:eastAsia="zh-CN"/>
        </w:rPr>
        <w:t>阿尔山市</w:t>
      </w:r>
      <w:r>
        <w:rPr>
          <w:rFonts w:hint="eastAsia"/>
          <w:color w:val="000000"/>
          <w:sz w:val="24"/>
          <w:szCs w:val="24"/>
        </w:rPr>
        <w:t>生活</w:t>
      </w:r>
      <w:r>
        <w:rPr>
          <w:color w:val="000000"/>
          <w:sz w:val="24"/>
          <w:szCs w:val="24"/>
        </w:rPr>
        <w:t>垃圾</w:t>
      </w:r>
      <w:r>
        <w:rPr>
          <w:rFonts w:hint="eastAsia"/>
          <w:color w:val="000000"/>
          <w:sz w:val="24"/>
          <w:szCs w:val="24"/>
        </w:rPr>
        <w:t>填埋场规划</w:t>
      </w:r>
      <w:r>
        <w:rPr>
          <w:color w:val="000000"/>
          <w:sz w:val="24"/>
          <w:szCs w:val="24"/>
        </w:rPr>
        <w:t>用地，</w:t>
      </w:r>
      <w:r>
        <w:rPr>
          <w:rFonts w:hint="eastAsia"/>
          <w:color w:val="000000"/>
          <w:sz w:val="24"/>
          <w:szCs w:val="24"/>
        </w:rPr>
        <w:t>现</w:t>
      </w:r>
      <w:r>
        <w:rPr>
          <w:color w:val="000000"/>
          <w:sz w:val="24"/>
          <w:szCs w:val="24"/>
        </w:rPr>
        <w:t>分割出一</w:t>
      </w:r>
      <w:r>
        <w:rPr>
          <w:rFonts w:hint="eastAsia"/>
          <w:color w:val="000000"/>
          <w:sz w:val="24"/>
          <w:szCs w:val="24"/>
        </w:rPr>
        <w:t>部分</w:t>
      </w:r>
      <w:r>
        <w:rPr>
          <w:color w:val="000000"/>
          <w:sz w:val="24"/>
          <w:szCs w:val="24"/>
        </w:rPr>
        <w:t>用</w:t>
      </w:r>
      <w:r>
        <w:rPr>
          <w:rFonts w:hint="eastAsia"/>
          <w:color w:val="000000"/>
          <w:sz w:val="24"/>
          <w:szCs w:val="24"/>
        </w:rPr>
        <w:t>于</w:t>
      </w:r>
      <w:r>
        <w:rPr>
          <w:color w:val="000000"/>
          <w:sz w:val="24"/>
          <w:szCs w:val="24"/>
        </w:rPr>
        <w:t>本项目</w:t>
      </w:r>
      <w:r>
        <w:rPr>
          <w:rFonts w:hint="eastAsia"/>
          <w:color w:val="000000"/>
          <w:sz w:val="24"/>
          <w:szCs w:val="24"/>
        </w:rPr>
        <w:t>建设</w:t>
      </w:r>
      <w:r>
        <w:rPr>
          <w:rFonts w:hint="eastAsia"/>
          <w:bCs/>
          <w:color w:val="000000"/>
          <w:sz w:val="24"/>
          <w:szCs w:val="24"/>
        </w:rPr>
        <w:t>，</w:t>
      </w:r>
      <w:r>
        <w:rPr>
          <w:rFonts w:hint="eastAsia"/>
          <w:color w:val="000000"/>
          <w:sz w:val="24"/>
          <w:szCs w:val="24"/>
        </w:rPr>
        <w:t>同时项目位于《</w:t>
      </w:r>
      <w:r>
        <w:rPr>
          <w:rFonts w:hint="eastAsia" w:ascii="宋体" w:hAnsi="宋体"/>
          <w:color w:val="000000"/>
          <w:sz w:val="24"/>
          <w:szCs w:val="24"/>
          <w:lang w:val="en-US" w:eastAsia="zh-CN"/>
        </w:rPr>
        <w:t>阿尔山市</w:t>
      </w:r>
      <w:r>
        <w:rPr>
          <w:rFonts w:hint="eastAsia" w:ascii="宋体" w:hAnsi="宋体"/>
          <w:color w:val="000000"/>
          <w:sz w:val="24"/>
          <w:szCs w:val="24"/>
        </w:rPr>
        <w:t>城市总体规划（201</w:t>
      </w:r>
      <w:r>
        <w:rPr>
          <w:rFonts w:hint="eastAsia" w:ascii="宋体" w:hAnsi="宋体"/>
          <w:color w:val="000000"/>
          <w:sz w:val="24"/>
          <w:szCs w:val="24"/>
          <w:lang w:val="en-US" w:eastAsia="zh-CN"/>
        </w:rPr>
        <w:t>2</w:t>
      </w:r>
      <w:r>
        <w:rPr>
          <w:rFonts w:hint="eastAsia" w:ascii="宋体" w:hAnsi="宋体"/>
          <w:color w:val="000000"/>
          <w:sz w:val="24"/>
          <w:szCs w:val="24"/>
        </w:rPr>
        <w:t>-2030</w:t>
      </w:r>
      <w:r>
        <w:rPr>
          <w:color w:val="000000"/>
          <w:sz w:val="24"/>
        </w:rPr>
        <w:t>》</w:t>
      </w:r>
      <w:r>
        <w:rPr>
          <w:rFonts w:hint="eastAsia"/>
          <w:color w:val="000000"/>
          <w:sz w:val="24"/>
        </w:rPr>
        <w:t>规划区外，故项目满足规划要求。</w:t>
      </w:r>
    </w:p>
    <w:p>
      <w:pPr>
        <w:pStyle w:val="5"/>
        <w:spacing w:before="0" w:after="0" w:line="360" w:lineRule="auto"/>
        <w:rPr>
          <w:rFonts w:hint="eastAsia" w:ascii="Times New Roman" w:hAnsi="Times New Roman" w:eastAsia="宋体"/>
          <w:bCs w:val="0"/>
          <w:color w:val="000000"/>
          <w:sz w:val="24"/>
          <w:szCs w:val="24"/>
        </w:rPr>
      </w:pPr>
      <w:bookmarkStart w:id="317" w:name="_Toc3157"/>
      <w:bookmarkStart w:id="318" w:name="_Toc28300"/>
      <w:r>
        <w:rPr>
          <w:rFonts w:hint="eastAsia" w:ascii="Times New Roman" w:hAnsi="Times New Roman" w:eastAsia="宋体"/>
          <w:color w:val="000000"/>
          <w:sz w:val="30"/>
          <w:szCs w:val="30"/>
        </w:rPr>
        <w:t>9</w:t>
      </w:r>
      <w:r>
        <w:rPr>
          <w:rFonts w:ascii="Times New Roman" w:hAnsi="Times New Roman" w:eastAsia="宋体"/>
          <w:color w:val="000000"/>
          <w:sz w:val="30"/>
          <w:szCs w:val="30"/>
        </w:rPr>
        <w:t>.</w:t>
      </w:r>
      <w:r>
        <w:rPr>
          <w:rFonts w:hint="eastAsia" w:ascii="Times New Roman" w:hAnsi="Times New Roman" w:eastAsia="宋体"/>
          <w:color w:val="000000"/>
          <w:sz w:val="30"/>
          <w:szCs w:val="30"/>
        </w:rPr>
        <w:t>6环境质量现状评价结论</w:t>
      </w:r>
      <w:bookmarkEnd w:id="317"/>
      <w:bookmarkEnd w:id="318"/>
    </w:p>
    <w:p>
      <w:pPr>
        <w:pStyle w:val="2"/>
        <w:spacing w:line="360" w:lineRule="auto"/>
        <w:ind w:left="0" w:leftChars="0" w:firstLine="480" w:firstLineChars="200"/>
        <w:rPr>
          <w:rFonts w:hint="eastAsia"/>
          <w:b w:val="0"/>
          <w:bCs w:val="0"/>
          <w:sz w:val="24"/>
          <w:szCs w:val="24"/>
          <w:lang w:val="en-US" w:eastAsia="zh-CN"/>
        </w:rPr>
      </w:pPr>
      <w:r>
        <w:rPr>
          <w:rFonts w:hint="eastAsia"/>
          <w:color w:val="000000"/>
          <w:sz w:val="24"/>
          <w:szCs w:val="20"/>
        </w:rPr>
        <w:t>本项目</w:t>
      </w:r>
      <w:r>
        <w:rPr>
          <w:color w:val="000000"/>
          <w:sz w:val="24"/>
          <w:szCs w:val="20"/>
        </w:rPr>
        <w:t>委托内蒙古大元检测服务有限公司对项目周边环境质量现状进行了监测</w:t>
      </w:r>
      <w:r>
        <w:rPr>
          <w:rFonts w:hint="eastAsia"/>
          <w:color w:val="000000"/>
          <w:sz w:val="24"/>
          <w:szCs w:val="20"/>
        </w:rPr>
        <w:t>，</w:t>
      </w:r>
      <w:r>
        <w:rPr>
          <w:color w:val="000000"/>
          <w:sz w:val="24"/>
          <w:szCs w:val="20"/>
        </w:rPr>
        <w:t>监测时间为</w:t>
      </w:r>
      <w:r>
        <w:rPr>
          <w:rFonts w:hint="eastAsia"/>
          <w:color w:val="000000"/>
          <w:sz w:val="24"/>
          <w:szCs w:val="20"/>
        </w:rPr>
        <w:t>202</w:t>
      </w:r>
      <w:r>
        <w:rPr>
          <w:rFonts w:hint="eastAsia"/>
          <w:color w:val="000000"/>
          <w:sz w:val="24"/>
          <w:szCs w:val="20"/>
          <w:lang w:val="en-US" w:eastAsia="zh-CN"/>
        </w:rPr>
        <w:t>4</w:t>
      </w:r>
      <w:r>
        <w:rPr>
          <w:color w:val="000000"/>
          <w:sz w:val="24"/>
          <w:szCs w:val="20"/>
        </w:rPr>
        <w:t>年</w:t>
      </w:r>
      <w:r>
        <w:rPr>
          <w:rFonts w:hint="eastAsia"/>
          <w:color w:val="000000"/>
          <w:sz w:val="24"/>
          <w:szCs w:val="20"/>
          <w:lang w:val="en-US" w:eastAsia="zh-CN"/>
        </w:rPr>
        <w:t>6</w:t>
      </w:r>
      <w:r>
        <w:rPr>
          <w:color w:val="000000"/>
          <w:sz w:val="24"/>
          <w:szCs w:val="20"/>
        </w:rPr>
        <w:t>月。</w:t>
      </w:r>
    </w:p>
    <w:p>
      <w:pPr>
        <w:pStyle w:val="6"/>
        <w:spacing w:before="0" w:after="0" w:line="360" w:lineRule="auto"/>
        <w:rPr>
          <w:rFonts w:hint="default" w:ascii="Times New Roman" w:hAnsi="Times New Roman" w:cs="Times New Roman"/>
          <w:color w:val="000000"/>
          <w:kern w:val="0"/>
          <w:sz w:val="24"/>
          <w:szCs w:val="24"/>
        </w:rPr>
      </w:pPr>
      <w:bookmarkStart w:id="319" w:name="_Toc17686"/>
      <w:bookmarkStart w:id="320" w:name="_Toc18341"/>
      <w:r>
        <w:rPr>
          <w:rFonts w:hint="default" w:ascii="Times New Roman" w:hAnsi="Times New Roman" w:cs="Times New Roman"/>
          <w:color w:val="000000"/>
          <w:kern w:val="0"/>
          <w:sz w:val="24"/>
          <w:szCs w:val="24"/>
        </w:rPr>
        <w:t>9.6.1大气环境质量现状评价结论</w:t>
      </w:r>
      <w:bookmarkEnd w:id="319"/>
      <w:bookmarkEnd w:id="320"/>
    </w:p>
    <w:p>
      <w:pPr>
        <w:pStyle w:val="2"/>
        <w:spacing w:line="360" w:lineRule="auto"/>
        <w:ind w:left="0" w:leftChars="0" w:firstLine="480" w:firstLineChars="200"/>
        <w:rPr>
          <w:rFonts w:hint="eastAsia"/>
          <w:b w:val="0"/>
          <w:bCs w:val="0"/>
          <w:sz w:val="24"/>
          <w:szCs w:val="24"/>
          <w:lang w:val="en-US" w:eastAsia="zh-CN"/>
        </w:rPr>
      </w:pPr>
      <w:r>
        <w:rPr>
          <w:rFonts w:hint="default" w:ascii="Times New Roman" w:hAnsi="Times New Roman" w:eastAsia="宋体" w:cs="Times New Roman"/>
          <w:sz w:val="24"/>
          <w:szCs w:val="24"/>
          <w:lang w:val="en-US" w:eastAsia="zh-CN"/>
        </w:rPr>
        <w:t>根据兴安盟生态环境局官网发布的城市环境空气质量 2022年 1-12 月月报</w:t>
      </w:r>
      <w:r>
        <w:rPr>
          <w:rFonts w:hint="default" w:ascii="Times New Roman" w:hAnsi="Times New Roman" w:cs="Times New Roman"/>
          <w:color w:val="000000"/>
          <w:kern w:val="0"/>
          <w:sz w:val="24"/>
        </w:rPr>
        <w:t>，</w:t>
      </w:r>
      <w:r>
        <w:rPr>
          <w:rFonts w:hint="default" w:ascii="Times New Roman" w:hAnsi="Times New Roman" w:cs="Times New Roman"/>
          <w:color w:val="000000"/>
          <w:kern w:val="0"/>
          <w:sz w:val="24"/>
          <w:lang w:val="en-US" w:eastAsia="zh-CN"/>
        </w:rPr>
        <w:t>兴安盟阿尔山市</w:t>
      </w:r>
      <w:r>
        <w:rPr>
          <w:rFonts w:hint="default" w:ascii="Times New Roman" w:hAnsi="Times New Roman" w:cs="Times New Roman"/>
          <w:bCs/>
          <w:color w:val="000000"/>
          <w:sz w:val="24"/>
        </w:rPr>
        <w:t>属于达标区</w:t>
      </w:r>
      <w:r>
        <w:rPr>
          <w:rFonts w:hint="default" w:ascii="Times New Roman" w:hAnsi="Times New Roman" w:cs="Times New Roman"/>
          <w:color w:val="000000"/>
          <w:kern w:val="0"/>
          <w:sz w:val="24"/>
        </w:rPr>
        <w:t>。</w:t>
      </w:r>
      <w:r>
        <w:rPr>
          <w:rFonts w:hint="default" w:ascii="Times New Roman" w:hAnsi="Times New Roman" w:cs="Times New Roman"/>
          <w:color w:val="000000"/>
          <w:sz w:val="24"/>
        </w:rPr>
        <w:t>根据补充监测数据可知，TSP日均浓度满足《环境空气质量标准》（GB 3095-2012）二级标准，非甲烷总烃小时平均浓度满足河北省2012年11月17日发布的地方标准《环境空气质量 非甲烷总烃限值》（DB13 1577-2012）</w:t>
      </w:r>
      <w:r>
        <w:rPr>
          <w:rFonts w:hint="default" w:ascii="Times New Roman" w:hAnsi="Times New Roman" w:cs="Times New Roman"/>
          <w:color w:val="000000"/>
          <w:sz w:val="24"/>
          <w:shd w:val="clear" w:color="auto" w:fill="FFFFFF"/>
        </w:rPr>
        <w:t>中浓度限值</w:t>
      </w:r>
      <w:r>
        <w:rPr>
          <w:rFonts w:hint="default" w:ascii="Times New Roman" w:hAnsi="Times New Roman" w:cs="Times New Roman"/>
          <w:color w:val="000000"/>
          <w:sz w:val="24"/>
          <w:szCs w:val="22"/>
        </w:rPr>
        <w:t>，氨气、硫化氢小时浓度均值、总挥发性有机物8h平均浓度满足《环境影响评价技术导则 大气环境》（HJ2.2-2018）附录D中浓度限值，评价区环境空气质量良好</w:t>
      </w:r>
      <w:r>
        <w:rPr>
          <w:rFonts w:hint="eastAsia"/>
          <w:color w:val="000000"/>
          <w:spacing w:val="2"/>
          <w:sz w:val="24"/>
        </w:rPr>
        <w:t>。</w:t>
      </w:r>
    </w:p>
    <w:p>
      <w:pPr>
        <w:pStyle w:val="6"/>
        <w:spacing w:before="0" w:after="0" w:line="360" w:lineRule="auto"/>
        <w:rPr>
          <w:rFonts w:hint="default" w:ascii="Times New Roman" w:hAnsi="Times New Roman" w:cs="Times New Roman"/>
          <w:color w:val="000000"/>
          <w:kern w:val="0"/>
          <w:sz w:val="24"/>
          <w:szCs w:val="24"/>
        </w:rPr>
      </w:pPr>
      <w:bookmarkStart w:id="321" w:name="_Toc18213"/>
      <w:bookmarkStart w:id="322" w:name="_Toc439257955"/>
      <w:bookmarkStart w:id="323" w:name="_Toc21133"/>
      <w:r>
        <w:rPr>
          <w:rFonts w:hint="default" w:ascii="Times New Roman" w:hAnsi="Times New Roman" w:cs="Times New Roman"/>
          <w:color w:val="000000"/>
          <w:kern w:val="0"/>
          <w:sz w:val="24"/>
          <w:szCs w:val="24"/>
        </w:rPr>
        <w:t>9.6.2水环境质量现状评价结论</w:t>
      </w:r>
      <w:bookmarkEnd w:id="321"/>
      <w:bookmarkEnd w:id="322"/>
      <w:bookmarkEnd w:id="323"/>
    </w:p>
    <w:p>
      <w:pPr>
        <w:pStyle w:val="2"/>
        <w:spacing w:line="360" w:lineRule="auto"/>
        <w:ind w:left="0" w:leftChars="0" w:firstLine="480" w:firstLineChars="200"/>
        <w:rPr>
          <w:rFonts w:hint="eastAsia"/>
          <w:b w:val="0"/>
          <w:bCs w:val="0"/>
          <w:sz w:val="24"/>
          <w:szCs w:val="24"/>
          <w:lang w:val="en-US" w:eastAsia="zh-CN"/>
        </w:rPr>
      </w:pPr>
      <w:r>
        <w:rPr>
          <w:rFonts w:hint="default" w:ascii="Times New Roman" w:hAnsi="Times New Roman" w:cs="Times New Roman"/>
          <w:bCs/>
          <w:color w:val="000000"/>
          <w:sz w:val="24"/>
        </w:rPr>
        <w:t>按照</w:t>
      </w:r>
      <w:r>
        <w:rPr>
          <w:rFonts w:hint="default" w:ascii="Times New Roman" w:hAnsi="Times New Roman" w:cs="Times New Roman"/>
          <w:color w:val="000000"/>
          <w:sz w:val="24"/>
        </w:rPr>
        <w:t>202</w:t>
      </w:r>
      <w:r>
        <w:rPr>
          <w:rFonts w:hint="default" w:ascii="Times New Roman" w:hAnsi="Times New Roman" w:cs="Times New Roman"/>
          <w:color w:val="000000"/>
          <w:sz w:val="24"/>
          <w:lang w:val="en-US" w:eastAsia="zh-CN"/>
        </w:rPr>
        <w:t>4</w:t>
      </w:r>
      <w:r>
        <w:rPr>
          <w:rFonts w:hint="default" w:ascii="Times New Roman" w:hAnsi="Times New Roman" w:cs="Times New Roman"/>
          <w:color w:val="000000"/>
          <w:sz w:val="24"/>
        </w:rPr>
        <w:t>年</w:t>
      </w:r>
      <w:r>
        <w:rPr>
          <w:rFonts w:hint="default" w:ascii="Times New Roman" w:hAnsi="Times New Roman" w:cs="Times New Roman"/>
          <w:color w:val="000000"/>
          <w:sz w:val="24"/>
          <w:lang w:val="en-US" w:eastAsia="zh-CN"/>
        </w:rPr>
        <w:t>6</w:t>
      </w:r>
      <w:r>
        <w:rPr>
          <w:rFonts w:hint="default" w:ascii="Times New Roman" w:hAnsi="Times New Roman" w:cs="Times New Roman"/>
          <w:color w:val="000000"/>
          <w:sz w:val="24"/>
        </w:rPr>
        <w:t>月委托内蒙古大元检测服务有限公司</w:t>
      </w:r>
      <w:r>
        <w:rPr>
          <w:rFonts w:hint="default" w:ascii="Times New Roman" w:hAnsi="Times New Roman" w:cs="Times New Roman"/>
          <w:bCs/>
          <w:color w:val="000000"/>
          <w:sz w:val="24"/>
        </w:rPr>
        <w:t>地下水质量现状检测结果，</w:t>
      </w:r>
      <w:r>
        <w:rPr>
          <w:rFonts w:hint="default" w:ascii="Times New Roman" w:hAnsi="Times New Roman" w:cs="Times New Roman"/>
          <w:color w:val="000000"/>
          <w:sz w:val="24"/>
        </w:rPr>
        <w:t>本项目监测点位检测结果满足《地下水质量标准》（GB/T14848-2017）中的Ⅲ类标准限值，地下水水</w:t>
      </w:r>
      <w:r>
        <w:rPr>
          <w:color w:val="000000"/>
          <w:sz w:val="24"/>
        </w:rPr>
        <w:t>质良好。</w:t>
      </w:r>
    </w:p>
    <w:p>
      <w:pPr>
        <w:pStyle w:val="6"/>
        <w:spacing w:before="0" w:after="0" w:line="360" w:lineRule="auto"/>
        <w:rPr>
          <w:rFonts w:hint="eastAsia"/>
          <w:color w:val="000000"/>
          <w:kern w:val="0"/>
          <w:sz w:val="24"/>
          <w:szCs w:val="24"/>
        </w:rPr>
      </w:pPr>
      <w:bookmarkStart w:id="324" w:name="_Toc439257956"/>
      <w:bookmarkStart w:id="325" w:name="_Toc20404"/>
      <w:bookmarkStart w:id="326" w:name="_Toc2096"/>
      <w:r>
        <w:rPr>
          <w:rFonts w:hint="default" w:ascii="Times New Roman" w:hAnsi="Times New Roman" w:cs="Times New Roman"/>
          <w:color w:val="000000"/>
          <w:kern w:val="0"/>
          <w:sz w:val="24"/>
          <w:szCs w:val="24"/>
        </w:rPr>
        <w:t>9.6.3声环境质量现状评价结论</w:t>
      </w:r>
      <w:bookmarkEnd w:id="324"/>
      <w:bookmarkEnd w:id="325"/>
      <w:bookmarkEnd w:id="326"/>
    </w:p>
    <w:p>
      <w:pPr>
        <w:pStyle w:val="2"/>
        <w:spacing w:line="360" w:lineRule="auto"/>
        <w:ind w:left="0" w:leftChars="0" w:firstLine="480" w:firstLineChars="200"/>
        <w:rPr>
          <w:rFonts w:hint="eastAsia"/>
          <w:b w:val="0"/>
          <w:bCs w:val="0"/>
          <w:sz w:val="24"/>
          <w:szCs w:val="24"/>
          <w:lang w:val="en-US" w:eastAsia="zh-CN"/>
        </w:rPr>
      </w:pPr>
      <w:r>
        <w:rPr>
          <w:rFonts w:hint="eastAsia"/>
          <w:sz w:val="24"/>
        </w:rPr>
        <w:t>本项目委托内蒙古大元检测服务有限公司于202</w:t>
      </w:r>
      <w:r>
        <w:rPr>
          <w:rFonts w:hint="eastAsia"/>
          <w:sz w:val="24"/>
          <w:lang w:val="en-US" w:eastAsia="zh-CN"/>
        </w:rPr>
        <w:t>4</w:t>
      </w:r>
      <w:r>
        <w:rPr>
          <w:sz w:val="24"/>
        </w:rPr>
        <w:t>年</w:t>
      </w:r>
      <w:r>
        <w:rPr>
          <w:rFonts w:hint="eastAsia"/>
          <w:sz w:val="24"/>
          <w:lang w:val="en-US" w:eastAsia="zh-CN"/>
        </w:rPr>
        <w:t>6</w:t>
      </w:r>
      <w:r>
        <w:rPr>
          <w:sz w:val="24"/>
        </w:rPr>
        <w:t>月</w:t>
      </w:r>
      <w:r>
        <w:rPr>
          <w:rFonts w:hint="eastAsia"/>
          <w:sz w:val="24"/>
        </w:rPr>
        <w:t>1</w:t>
      </w:r>
      <w:r>
        <w:rPr>
          <w:rFonts w:hint="eastAsia"/>
          <w:sz w:val="24"/>
          <w:lang w:val="en-US" w:eastAsia="zh-CN"/>
        </w:rPr>
        <w:t>8</w:t>
      </w:r>
      <w:r>
        <w:rPr>
          <w:rFonts w:hint="eastAsia"/>
          <w:sz w:val="24"/>
        </w:rPr>
        <w:t>-1</w:t>
      </w:r>
      <w:r>
        <w:rPr>
          <w:rFonts w:hint="eastAsia"/>
          <w:sz w:val="24"/>
          <w:lang w:val="en-US" w:eastAsia="zh-CN"/>
        </w:rPr>
        <w:t>9</w:t>
      </w:r>
      <w:r>
        <w:rPr>
          <w:sz w:val="24"/>
        </w:rPr>
        <w:t>日</w:t>
      </w:r>
      <w:r>
        <w:rPr>
          <w:rFonts w:hint="eastAsia"/>
          <w:sz w:val="24"/>
        </w:rPr>
        <w:t>对项目区声环境质量进行监测，</w:t>
      </w:r>
      <w:r>
        <w:rPr>
          <w:bCs/>
          <w:sz w:val="24"/>
        </w:rPr>
        <w:t>项目厂界</w:t>
      </w:r>
      <w:r>
        <w:rPr>
          <w:rFonts w:hint="default" w:ascii="Times New Roman" w:hAnsi="Times New Roman" w:cs="Times New Roman"/>
          <w:bCs/>
          <w:sz w:val="24"/>
        </w:rPr>
        <w:t>昼间噪声监测值</w:t>
      </w:r>
      <w:r>
        <w:rPr>
          <w:rFonts w:hint="eastAsia" w:ascii="Times New Roman" w:hAnsi="Times New Roman" w:cs="Times New Roman"/>
          <w:bCs/>
          <w:sz w:val="24"/>
          <w:lang w:val="en-US" w:eastAsia="zh-CN"/>
        </w:rPr>
        <w:t>3</w:t>
      </w:r>
      <w:r>
        <w:rPr>
          <w:rFonts w:hint="default" w:ascii="Times New Roman" w:hAnsi="Times New Roman" w:cs="Times New Roman"/>
          <w:bCs/>
          <w:sz w:val="24"/>
        </w:rPr>
        <w:t>7</w:t>
      </w:r>
      <w:r>
        <w:rPr>
          <w:rFonts w:hint="default" w:ascii="Times New Roman" w:hAnsi="Times New Roman" w:cs="Times New Roman"/>
          <w:sz w:val="24"/>
        </w:rPr>
        <w:t>dB(A)--</w:t>
      </w:r>
      <w:r>
        <w:rPr>
          <w:rFonts w:hint="eastAsia" w:ascii="Times New Roman" w:hAnsi="Times New Roman" w:cs="Times New Roman"/>
          <w:sz w:val="24"/>
          <w:lang w:val="en-US" w:eastAsia="zh-CN"/>
        </w:rPr>
        <w:t>4</w:t>
      </w:r>
      <w:r>
        <w:rPr>
          <w:rFonts w:hint="default" w:ascii="Times New Roman" w:hAnsi="Times New Roman" w:cs="Times New Roman"/>
          <w:sz w:val="24"/>
        </w:rPr>
        <w:t>0dB(A)</w:t>
      </w:r>
      <w:r>
        <w:rPr>
          <w:rFonts w:hint="default" w:ascii="Times New Roman" w:hAnsi="Times New Roman" w:cs="Times New Roman"/>
          <w:bCs/>
          <w:sz w:val="24"/>
        </w:rPr>
        <w:t>、夜间噪声监测值3</w:t>
      </w:r>
      <w:r>
        <w:rPr>
          <w:rFonts w:hint="eastAsia" w:ascii="Times New Roman" w:hAnsi="Times New Roman" w:cs="Times New Roman"/>
          <w:bCs/>
          <w:sz w:val="24"/>
          <w:lang w:val="en-US" w:eastAsia="zh-CN"/>
        </w:rPr>
        <w:t>1</w:t>
      </w:r>
      <w:r>
        <w:rPr>
          <w:rFonts w:hint="default" w:ascii="Times New Roman" w:hAnsi="Times New Roman" w:cs="Times New Roman"/>
          <w:b/>
          <w:sz w:val="24"/>
        </w:rPr>
        <w:t xml:space="preserve"> </w:t>
      </w:r>
      <w:r>
        <w:rPr>
          <w:rFonts w:hint="default" w:ascii="Times New Roman" w:hAnsi="Times New Roman" w:cs="Times New Roman"/>
          <w:sz w:val="24"/>
        </w:rPr>
        <w:t>dB(A)--</w:t>
      </w:r>
      <w:r>
        <w:rPr>
          <w:rFonts w:hint="eastAsia" w:ascii="Times New Roman" w:hAnsi="Times New Roman" w:cs="Times New Roman"/>
          <w:sz w:val="24"/>
          <w:lang w:val="en-US" w:eastAsia="zh-CN"/>
        </w:rPr>
        <w:t>32</w:t>
      </w:r>
      <w:r>
        <w:rPr>
          <w:rFonts w:hint="default" w:ascii="Times New Roman" w:hAnsi="Times New Roman" w:cs="Times New Roman"/>
          <w:sz w:val="24"/>
        </w:rPr>
        <w:t xml:space="preserve"> dB(A)</w:t>
      </w:r>
      <w:r>
        <w:rPr>
          <w:rFonts w:hint="default" w:ascii="Times New Roman" w:hAnsi="Times New Roman" w:cs="Times New Roman"/>
          <w:bCs/>
          <w:sz w:val="24"/>
        </w:rPr>
        <w:t>，</w:t>
      </w:r>
      <w:r>
        <w:rPr>
          <w:bCs/>
          <w:sz w:val="24"/>
        </w:rPr>
        <w:t>满足</w:t>
      </w:r>
      <w:r>
        <w:rPr>
          <w:rFonts w:hint="default" w:ascii="Times New Roman" w:hAnsi="Times New Roman" w:cs="Times New Roman"/>
          <w:bCs/>
          <w:sz w:val="24"/>
        </w:rPr>
        <w:t>《声环境质量标准》（GB3096-2008）中2类标准</w:t>
      </w:r>
      <w:r>
        <w:rPr>
          <w:bCs/>
          <w:sz w:val="24"/>
        </w:rPr>
        <w:t>限值的要求</w:t>
      </w:r>
      <w:r>
        <w:rPr>
          <w:rFonts w:hint="eastAsia"/>
          <w:sz w:val="24"/>
        </w:rPr>
        <w:t>。</w:t>
      </w:r>
    </w:p>
    <w:p>
      <w:pPr>
        <w:pStyle w:val="6"/>
        <w:spacing w:before="0" w:after="0" w:line="360" w:lineRule="auto"/>
        <w:rPr>
          <w:rFonts w:hint="default" w:ascii="Times New Roman" w:hAnsi="Times New Roman" w:cs="Times New Roman"/>
          <w:kern w:val="0"/>
          <w:sz w:val="28"/>
        </w:rPr>
      </w:pPr>
      <w:bookmarkStart w:id="327" w:name="_Toc426042465"/>
      <w:bookmarkStart w:id="328" w:name="_Toc439257958"/>
      <w:bookmarkStart w:id="329" w:name="_Toc3778"/>
      <w:bookmarkStart w:id="330" w:name="_Toc22882"/>
      <w:r>
        <w:rPr>
          <w:rFonts w:hint="default" w:ascii="Times New Roman" w:hAnsi="Times New Roman" w:cs="Times New Roman"/>
          <w:kern w:val="0"/>
          <w:sz w:val="24"/>
          <w:szCs w:val="24"/>
        </w:rPr>
        <w:t>9.6.4土壤环境质量现状评价结论</w:t>
      </w:r>
      <w:bookmarkEnd w:id="327"/>
      <w:bookmarkEnd w:id="328"/>
      <w:bookmarkEnd w:id="329"/>
      <w:bookmarkEnd w:id="330"/>
    </w:p>
    <w:p>
      <w:pPr>
        <w:pStyle w:val="2"/>
        <w:spacing w:line="360" w:lineRule="auto"/>
        <w:ind w:left="0" w:leftChars="0" w:firstLine="480" w:firstLineChars="200"/>
        <w:rPr>
          <w:rFonts w:hint="eastAsia"/>
          <w:b w:val="0"/>
          <w:bCs w:val="0"/>
          <w:sz w:val="24"/>
          <w:szCs w:val="24"/>
          <w:lang w:val="en-US" w:eastAsia="zh-CN"/>
        </w:rPr>
      </w:pPr>
      <w:r>
        <w:rPr>
          <w:rFonts w:hint="eastAsia"/>
          <w:sz w:val="24"/>
          <w:szCs w:val="22"/>
        </w:rPr>
        <w:t>本项目于202</w:t>
      </w:r>
      <w:r>
        <w:rPr>
          <w:rFonts w:hint="eastAsia"/>
          <w:sz w:val="24"/>
          <w:szCs w:val="22"/>
          <w:lang w:val="en-US" w:eastAsia="zh-CN"/>
        </w:rPr>
        <w:t>4</w:t>
      </w:r>
      <w:r>
        <w:rPr>
          <w:rFonts w:hint="eastAsia"/>
          <w:sz w:val="24"/>
          <w:szCs w:val="22"/>
        </w:rPr>
        <w:t>年</w:t>
      </w:r>
      <w:r>
        <w:rPr>
          <w:rFonts w:hint="eastAsia"/>
          <w:sz w:val="24"/>
          <w:szCs w:val="22"/>
          <w:lang w:val="en-US" w:eastAsia="zh-CN"/>
        </w:rPr>
        <w:t>6</w:t>
      </w:r>
      <w:r>
        <w:rPr>
          <w:rFonts w:hint="eastAsia"/>
          <w:sz w:val="24"/>
          <w:szCs w:val="22"/>
        </w:rPr>
        <w:t>月委托</w:t>
      </w:r>
      <w:r>
        <w:rPr>
          <w:rFonts w:hint="eastAsia"/>
          <w:kern w:val="0"/>
          <w:sz w:val="24"/>
        </w:rPr>
        <w:t>内蒙古大元检测服务有限公司对项目区土壤进行检测，按照监测结果，</w:t>
      </w:r>
      <w:r>
        <w:rPr>
          <w:sz w:val="24"/>
          <w:szCs w:val="22"/>
        </w:rPr>
        <w:t>土壤各监测因子</w:t>
      </w:r>
      <w:r>
        <w:rPr>
          <w:sz w:val="24"/>
        </w:rPr>
        <w:t>的监测值均可满足</w:t>
      </w:r>
      <w:r>
        <w:rPr>
          <w:color w:val="000000"/>
          <w:sz w:val="24"/>
        </w:rPr>
        <w:t>《土壤环境质量 建设用地土壤污染风险管控标准（试行）》（GB36600-2018）、</w:t>
      </w:r>
      <w:r>
        <w:rPr>
          <w:sz w:val="24"/>
        </w:rPr>
        <w:t>《土壤环境质量 农用地土壤污染风险管控标准（试行）》(GB15618-2018)</w:t>
      </w:r>
      <w:r>
        <w:rPr>
          <w:rFonts w:hint="eastAsia"/>
          <w:sz w:val="24"/>
        </w:rPr>
        <w:t>中限值</w:t>
      </w:r>
      <w:r>
        <w:rPr>
          <w:sz w:val="24"/>
          <w:szCs w:val="22"/>
        </w:rPr>
        <w:t>，项目区土壤环境质量良好</w:t>
      </w:r>
      <w:r>
        <w:rPr>
          <w:rFonts w:hint="eastAsia"/>
          <w:sz w:val="24"/>
        </w:rPr>
        <w:t>。</w:t>
      </w:r>
    </w:p>
    <w:p>
      <w:pPr>
        <w:pStyle w:val="5"/>
        <w:spacing w:before="0" w:after="0" w:line="360" w:lineRule="auto"/>
        <w:rPr>
          <w:rFonts w:hint="eastAsia" w:ascii="Times New Roman" w:hAnsi="Times New Roman" w:eastAsia="宋体"/>
          <w:sz w:val="30"/>
          <w:szCs w:val="30"/>
        </w:rPr>
      </w:pPr>
      <w:bookmarkStart w:id="331" w:name="_Toc352233091"/>
      <w:bookmarkStart w:id="332" w:name="_Toc30873"/>
      <w:bookmarkStart w:id="333" w:name="_Toc426048389"/>
      <w:bookmarkStart w:id="334" w:name="_Toc393717265"/>
      <w:bookmarkStart w:id="335" w:name="_Toc439257962"/>
      <w:bookmarkStart w:id="336" w:name="_Toc301167925"/>
      <w:bookmarkStart w:id="337" w:name="_Toc28645"/>
      <w:r>
        <w:rPr>
          <w:rFonts w:hint="eastAsia" w:ascii="Times New Roman" w:hAnsi="Times New Roman" w:eastAsia="宋体"/>
          <w:sz w:val="30"/>
          <w:szCs w:val="30"/>
        </w:rPr>
        <w:t>9.7污染防治措施及环境影响分析</w:t>
      </w:r>
      <w:bookmarkEnd w:id="331"/>
      <w:bookmarkEnd w:id="332"/>
      <w:bookmarkEnd w:id="333"/>
      <w:bookmarkEnd w:id="334"/>
      <w:bookmarkEnd w:id="335"/>
      <w:bookmarkEnd w:id="336"/>
      <w:bookmarkEnd w:id="337"/>
    </w:p>
    <w:p>
      <w:pPr>
        <w:pStyle w:val="6"/>
        <w:spacing w:before="0" w:after="0" w:line="360" w:lineRule="auto"/>
        <w:rPr>
          <w:rFonts w:hint="default" w:ascii="Times New Roman" w:hAnsi="Times New Roman" w:cs="Times New Roman"/>
          <w:kern w:val="0"/>
          <w:sz w:val="24"/>
          <w:szCs w:val="24"/>
        </w:rPr>
      </w:pPr>
      <w:bookmarkStart w:id="338" w:name="_Toc439257963"/>
      <w:bookmarkStart w:id="339" w:name="_Toc29314"/>
      <w:bookmarkStart w:id="340" w:name="_Toc11462"/>
      <w:r>
        <w:rPr>
          <w:rFonts w:hint="default" w:ascii="Times New Roman" w:hAnsi="Times New Roman" w:cs="Times New Roman"/>
          <w:kern w:val="0"/>
          <w:sz w:val="24"/>
          <w:szCs w:val="24"/>
        </w:rPr>
        <w:t>9.7.1</w:t>
      </w:r>
      <w:bookmarkEnd w:id="338"/>
      <w:r>
        <w:rPr>
          <w:rFonts w:hint="default" w:ascii="Times New Roman" w:hAnsi="Times New Roman" w:cs="Times New Roman"/>
          <w:kern w:val="0"/>
          <w:sz w:val="24"/>
          <w:szCs w:val="24"/>
        </w:rPr>
        <w:t>大气污染防治措施及其环境影响分析</w:t>
      </w:r>
      <w:bookmarkEnd w:id="339"/>
      <w:bookmarkEnd w:id="340"/>
    </w:p>
    <w:p>
      <w:pPr>
        <w:spacing w:line="360" w:lineRule="auto"/>
        <w:ind w:firstLine="480" w:firstLineChars="200"/>
        <w:rPr>
          <w:rFonts w:hint="eastAsia"/>
          <w:sz w:val="24"/>
        </w:rPr>
      </w:pPr>
      <w:r>
        <w:rPr>
          <w:rFonts w:hint="default" w:ascii="Times New Roman" w:hAnsi="Times New Roman" w:cs="Times New Roman"/>
          <w:sz w:val="24"/>
        </w:rPr>
        <w:t>（1）医废处理车间有组织废气</w:t>
      </w:r>
    </w:p>
    <w:p>
      <w:pPr>
        <w:pStyle w:val="2"/>
        <w:spacing w:line="360" w:lineRule="auto"/>
        <w:ind w:left="0" w:leftChars="0" w:firstLine="480" w:firstLineChars="200"/>
        <w:rPr>
          <w:rFonts w:hint="eastAsia" w:eastAsiaTheme="minorEastAsia"/>
          <w:b w:val="0"/>
          <w:bCs w:val="0"/>
          <w:sz w:val="24"/>
          <w:szCs w:val="24"/>
          <w:lang w:val="en-US" w:eastAsia="zh-CN"/>
        </w:rPr>
      </w:pPr>
      <w:r>
        <w:rPr>
          <w:rFonts w:hint="default" w:ascii="Times New Roman" w:hAnsi="Times New Roman" w:cs="Times New Roman"/>
          <w:sz w:val="24"/>
        </w:rPr>
        <w:t>本项目医疗废物处理过程产生的污染物为非甲烷总烃、颗粒物、氨气、硫化氢、臭气浓度。</w:t>
      </w:r>
      <w:r>
        <w:rPr>
          <w:rFonts w:hint="default" w:ascii="Times New Roman" w:hAnsi="Times New Roman" w:cs="Times New Roman"/>
          <w:sz w:val="24"/>
          <w:lang w:val="en-US" w:eastAsia="zh-CN"/>
        </w:rPr>
        <w:t>高温蒸汽</w:t>
      </w:r>
      <w:r>
        <w:rPr>
          <w:rFonts w:hint="default" w:ascii="Times New Roman" w:hAnsi="Times New Roman" w:cs="Times New Roman"/>
          <w:sz w:val="24"/>
        </w:rPr>
        <w:t>消毒系统进料为负压进料，</w:t>
      </w:r>
      <w:r>
        <w:rPr>
          <w:rFonts w:hint="default" w:ascii="Times New Roman" w:hAnsi="Times New Roman" w:cs="Times New Roman"/>
          <w:sz w:val="24"/>
          <w:lang w:val="en-US" w:eastAsia="zh-CN"/>
        </w:rPr>
        <w:t>进料前进行抽真空处理，</w:t>
      </w:r>
      <w:r>
        <w:rPr>
          <w:rFonts w:hint="default" w:ascii="Times New Roman" w:hAnsi="Times New Roman" w:cs="Times New Roman"/>
          <w:sz w:val="24"/>
        </w:rPr>
        <w:t>破碎</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干燥</w:t>
      </w:r>
      <w:r>
        <w:rPr>
          <w:rFonts w:hint="default" w:ascii="Times New Roman" w:hAnsi="Times New Roman" w:cs="Times New Roman"/>
          <w:sz w:val="24"/>
        </w:rPr>
        <w:t>在密闭环境下进行，经引风机将破碎</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干燥</w:t>
      </w:r>
      <w:r>
        <w:rPr>
          <w:rFonts w:hint="default" w:ascii="Times New Roman" w:hAnsi="Times New Roman" w:cs="Times New Roman"/>
          <w:sz w:val="24"/>
        </w:rPr>
        <w:t>产生的废气抽出，</w:t>
      </w:r>
      <w:r>
        <w:rPr>
          <w:rFonts w:hint="default" w:ascii="Times New Roman" w:hAnsi="Times New Roman" w:cs="Times New Roman"/>
          <w:kern w:val="0"/>
          <w:sz w:val="24"/>
        </w:rPr>
        <w:t>同时医废处理车间采用微负压，处理车间、冷库、污水处理设施废气内废气统一收集经1套“</w:t>
      </w:r>
      <w:r>
        <w:rPr>
          <w:rFonts w:hint="default" w:ascii="Times New Roman" w:hAnsi="Times New Roman" w:eastAsia="宋体" w:cs="Times New Roman"/>
          <w:color w:val="000000"/>
          <w:sz w:val="24"/>
          <w:szCs w:val="24"/>
          <w:lang w:val="en-US" w:eastAsia="zh-CN"/>
        </w:rPr>
        <w:t>雾化喷淋（除尘效率75%）--UV光催化氧化（VOCs、恶臭去除效率60%）--活性炭吸附过滤（吸附效率9</w:t>
      </w:r>
      <w:r>
        <w:rPr>
          <w:rFonts w:hint="eastAsia" w:ascii="Times New Roman" w:hAnsi="Times New Roman" w:eastAsia="宋体" w:cs="Times New Roman"/>
          <w:color w:val="000000"/>
          <w:sz w:val="24"/>
          <w:szCs w:val="24"/>
          <w:lang w:val="en-US" w:eastAsia="zh-CN"/>
        </w:rPr>
        <w:t>0</w:t>
      </w:r>
      <w:r>
        <w:rPr>
          <w:rFonts w:hint="default" w:ascii="Times New Roman" w:hAnsi="Times New Roman" w:eastAsia="宋体" w:cs="Times New Roman"/>
          <w:color w:val="000000"/>
          <w:sz w:val="24"/>
          <w:szCs w:val="24"/>
          <w:lang w:val="en-US" w:eastAsia="zh-CN"/>
        </w:rPr>
        <w:t>%）</w:t>
      </w:r>
      <w:r>
        <w:rPr>
          <w:rFonts w:hint="default" w:ascii="Times New Roman" w:hAnsi="Times New Roman" w:cs="Times New Roman"/>
          <w:kern w:val="0"/>
          <w:sz w:val="24"/>
        </w:rPr>
        <w:t>”装置处理</w:t>
      </w:r>
      <w:r>
        <w:rPr>
          <w:rFonts w:hint="default" w:ascii="Times New Roman" w:hAnsi="Times New Roman" w:cs="Times New Roman"/>
          <w:b w:val="0"/>
          <w:bCs w:val="0"/>
          <w:sz w:val="24"/>
        </w:rPr>
        <w:t>后经15m高</w:t>
      </w:r>
      <w:r>
        <w:rPr>
          <w:rFonts w:hint="default" w:ascii="Times New Roman" w:hAnsi="Times New Roman" w:cs="Times New Roman"/>
          <w:sz w:val="24"/>
        </w:rPr>
        <w:t>的排气筒排放</w:t>
      </w:r>
      <w:r>
        <w:rPr>
          <w:rFonts w:hint="eastAsia" w:ascii="Times New Roman" w:hAnsi="Times New Roman" w:cs="Times New Roman"/>
          <w:sz w:val="24"/>
          <w:lang w:eastAsia="zh-CN"/>
        </w:rPr>
        <w:t>。</w:t>
      </w:r>
      <w:r>
        <w:rPr>
          <w:rFonts w:hint="eastAsia"/>
          <w:sz w:val="24"/>
        </w:rPr>
        <w:t>处理后废气污染物</w:t>
      </w:r>
      <w:r>
        <w:rPr>
          <w:rFonts w:hint="eastAsia"/>
          <w:color w:val="000000"/>
          <w:sz w:val="24"/>
          <w:szCs w:val="21"/>
        </w:rPr>
        <w:t>颗粒</w:t>
      </w:r>
      <w:r>
        <w:rPr>
          <w:rFonts w:hint="default" w:ascii="Times New Roman" w:hAnsi="Times New Roman" w:cs="Times New Roman"/>
          <w:color w:val="000000"/>
          <w:sz w:val="24"/>
          <w:szCs w:val="21"/>
        </w:rPr>
        <w:t>物</w:t>
      </w:r>
      <w:r>
        <w:rPr>
          <w:rFonts w:hint="default" w:ascii="Times New Roman" w:hAnsi="Times New Roman" w:cs="Times New Roman"/>
          <w:sz w:val="24"/>
        </w:rPr>
        <w:t>、NH</w:t>
      </w:r>
      <w:r>
        <w:rPr>
          <w:rFonts w:hint="default" w:ascii="Times New Roman" w:hAnsi="Times New Roman" w:cs="Times New Roman"/>
          <w:sz w:val="24"/>
          <w:vertAlign w:val="subscript"/>
        </w:rPr>
        <w:t>3</w:t>
      </w:r>
      <w:r>
        <w:rPr>
          <w:rFonts w:hint="default" w:ascii="Times New Roman" w:hAnsi="Times New Roman" w:cs="Times New Roman"/>
          <w:sz w:val="24"/>
        </w:rPr>
        <w:t>、H</w:t>
      </w:r>
      <w:r>
        <w:rPr>
          <w:rFonts w:hint="default" w:ascii="Times New Roman" w:hAnsi="Times New Roman" w:cs="Times New Roman"/>
          <w:sz w:val="24"/>
          <w:vertAlign w:val="subscript"/>
        </w:rPr>
        <w:t>2</w:t>
      </w:r>
      <w:r>
        <w:rPr>
          <w:rFonts w:hint="default" w:ascii="Times New Roman" w:hAnsi="Times New Roman" w:cs="Times New Roman"/>
          <w:sz w:val="24"/>
        </w:rPr>
        <w:t>S</w:t>
      </w:r>
      <w:r>
        <w:rPr>
          <w:rFonts w:hint="default" w:ascii="Times New Roman" w:hAnsi="Times New Roman" w:cs="Times New Roman"/>
          <w:color w:val="000000"/>
          <w:sz w:val="24"/>
          <w:szCs w:val="21"/>
        </w:rPr>
        <w:t>、臭气浓度、非甲烷总</w:t>
      </w:r>
      <w:r>
        <w:rPr>
          <w:rFonts w:hint="eastAsia"/>
          <w:color w:val="000000"/>
          <w:sz w:val="24"/>
          <w:szCs w:val="21"/>
        </w:rPr>
        <w:t>烃</w:t>
      </w:r>
      <w:r>
        <w:rPr>
          <w:sz w:val="24"/>
        </w:rPr>
        <w:t>均达标排放。</w:t>
      </w:r>
    </w:p>
    <w:p>
      <w:pPr>
        <w:pStyle w:val="2"/>
        <w:spacing w:line="360" w:lineRule="auto"/>
        <w:rPr>
          <w:rFonts w:hint="eastAsia" w:eastAsiaTheme="minorEastAsia"/>
          <w:b w:val="0"/>
          <w:bCs w:val="0"/>
          <w:sz w:val="24"/>
          <w:szCs w:val="24"/>
          <w:lang w:val="en-US" w:eastAsia="zh-CN"/>
        </w:rPr>
      </w:pPr>
      <w:r>
        <w:rPr>
          <w:rFonts w:hint="eastAsia"/>
          <w:sz w:val="24"/>
        </w:rPr>
        <w:t>（2）医废处理车间无组织</w:t>
      </w:r>
      <w:r>
        <w:rPr>
          <w:rFonts w:hint="eastAsia"/>
          <w:sz w:val="24"/>
          <w:lang w:val="en-US" w:eastAsia="zh-CN"/>
        </w:rPr>
        <w:t>废气</w:t>
      </w:r>
    </w:p>
    <w:p>
      <w:pPr>
        <w:pStyle w:val="2"/>
        <w:spacing w:line="360" w:lineRule="auto"/>
        <w:ind w:left="0" w:leftChars="0" w:firstLine="480" w:firstLineChars="200"/>
        <w:rPr>
          <w:rFonts w:hint="eastAsia"/>
          <w:b w:val="0"/>
          <w:bCs w:val="0"/>
          <w:sz w:val="24"/>
          <w:szCs w:val="24"/>
          <w:lang w:val="en-US" w:eastAsia="zh-CN"/>
        </w:rPr>
      </w:pPr>
      <w:r>
        <w:rPr>
          <w:rFonts w:hint="default" w:ascii="Times New Roman" w:hAnsi="Times New Roman" w:cs="Times New Roman"/>
          <w:color w:val="auto"/>
          <w:sz w:val="24"/>
          <w:lang w:val="en-US" w:eastAsia="zh-CN"/>
        </w:rPr>
        <w:t>本项目运行期间医废处理车间处于微负压状态且各设备入料口、出料口均设有集气罩，医疗废物贮存考虑车辆进出及装卸料的无组织逸散</w:t>
      </w:r>
      <w:r>
        <w:rPr>
          <w:rFonts w:hint="eastAsia" w:ascii="Times New Roman" w:hAnsi="Times New Roman" w:cs="Times New Roman"/>
          <w:color w:val="auto"/>
          <w:sz w:val="24"/>
          <w:lang w:val="en-US" w:eastAsia="zh-CN"/>
        </w:rPr>
        <w:t>，</w:t>
      </w:r>
      <w:r>
        <w:rPr>
          <w:sz w:val="24"/>
        </w:rPr>
        <w:t>主要</w:t>
      </w:r>
      <w:r>
        <w:rPr>
          <w:rFonts w:hint="eastAsia"/>
          <w:sz w:val="24"/>
        </w:rPr>
        <w:t>污染物</w:t>
      </w:r>
      <w:r>
        <w:rPr>
          <w:sz w:val="24"/>
        </w:rPr>
        <w:t>为</w:t>
      </w:r>
      <w:r>
        <w:rPr>
          <w:rFonts w:hint="eastAsia"/>
          <w:sz w:val="24"/>
        </w:rPr>
        <w:t>非甲烷总烃、颗粒</w:t>
      </w:r>
      <w:r>
        <w:rPr>
          <w:rFonts w:hint="default" w:ascii="Times New Roman" w:hAnsi="Times New Roman" w:cs="Times New Roman"/>
          <w:sz w:val="24"/>
        </w:rPr>
        <w:t>物、NH</w:t>
      </w:r>
      <w:r>
        <w:rPr>
          <w:rFonts w:hint="default" w:ascii="Times New Roman" w:hAnsi="Times New Roman" w:cs="Times New Roman"/>
          <w:sz w:val="24"/>
          <w:vertAlign w:val="subscript"/>
        </w:rPr>
        <w:t>3</w:t>
      </w:r>
      <w:r>
        <w:rPr>
          <w:rFonts w:hint="default" w:ascii="Times New Roman" w:hAnsi="Times New Roman" w:cs="Times New Roman"/>
          <w:sz w:val="24"/>
        </w:rPr>
        <w:t>、H</w:t>
      </w:r>
      <w:r>
        <w:rPr>
          <w:rFonts w:hint="default" w:ascii="Times New Roman" w:hAnsi="Times New Roman" w:cs="Times New Roman"/>
          <w:sz w:val="24"/>
          <w:vertAlign w:val="subscript"/>
        </w:rPr>
        <w:t>2</w:t>
      </w:r>
      <w:r>
        <w:rPr>
          <w:rFonts w:hint="default" w:ascii="Times New Roman" w:hAnsi="Times New Roman" w:cs="Times New Roman"/>
          <w:sz w:val="24"/>
        </w:rPr>
        <w:t>S、臭</w:t>
      </w:r>
      <w:r>
        <w:rPr>
          <w:rFonts w:hint="eastAsia"/>
          <w:sz w:val="24"/>
        </w:rPr>
        <w:t>气浓度</w:t>
      </w:r>
      <w:r>
        <w:rPr>
          <w:rFonts w:hint="default" w:ascii="Times New Roman" w:hAnsi="Times New Roman" w:cs="Times New Roman"/>
          <w:color w:val="auto"/>
          <w:sz w:val="24"/>
          <w:lang w:val="en-US" w:eastAsia="zh-CN"/>
        </w:rPr>
        <w:t>。根据设计资料，车间内废气收集效率按照98%</w:t>
      </w:r>
      <w:r>
        <w:rPr>
          <w:rFonts w:hint="eastAsia"/>
          <w:color w:val="auto"/>
          <w:sz w:val="24"/>
          <w:lang w:val="en-US" w:eastAsia="zh-CN"/>
        </w:rPr>
        <w:t>计算，</w:t>
      </w:r>
      <w:r>
        <w:rPr>
          <w:rFonts w:hint="default" w:ascii="Times New Roman" w:hAnsi="Times New Roman" w:cs="Times New Roman"/>
          <w:sz w:val="24"/>
        </w:rPr>
        <w:t>废气无组织逸散量较小</w:t>
      </w:r>
      <w:r>
        <w:rPr>
          <w:rFonts w:hint="eastAsia" w:ascii="Times New Roman" w:hAnsi="Times New Roman" w:cs="Times New Roman"/>
          <w:sz w:val="24"/>
          <w:lang w:eastAsia="zh-CN"/>
        </w:rPr>
        <w:t>。</w:t>
      </w:r>
    </w:p>
    <w:p>
      <w:pPr>
        <w:pStyle w:val="6"/>
        <w:spacing w:before="0" w:after="0" w:line="360" w:lineRule="auto"/>
        <w:rPr>
          <w:rFonts w:hint="eastAsia"/>
          <w:kern w:val="0"/>
          <w:sz w:val="24"/>
          <w:szCs w:val="24"/>
        </w:rPr>
      </w:pPr>
      <w:bookmarkStart w:id="341" w:name="_Toc439257964"/>
      <w:bookmarkStart w:id="342" w:name="_Toc6442"/>
      <w:bookmarkStart w:id="343" w:name="_Toc22744"/>
      <w:r>
        <w:rPr>
          <w:rFonts w:hint="default" w:ascii="Times New Roman" w:hAnsi="Times New Roman" w:cs="Times New Roman"/>
          <w:kern w:val="0"/>
          <w:sz w:val="24"/>
          <w:szCs w:val="24"/>
        </w:rPr>
        <w:t>9.7.2水</w:t>
      </w:r>
      <w:bookmarkEnd w:id="341"/>
      <w:r>
        <w:rPr>
          <w:rFonts w:hint="default" w:ascii="Times New Roman" w:hAnsi="Times New Roman" w:cs="Times New Roman"/>
          <w:kern w:val="0"/>
          <w:sz w:val="24"/>
          <w:szCs w:val="24"/>
        </w:rPr>
        <w:t>污染防治措施及环境影响分</w:t>
      </w:r>
      <w:r>
        <w:rPr>
          <w:rFonts w:hint="eastAsia"/>
          <w:kern w:val="0"/>
          <w:sz w:val="24"/>
          <w:szCs w:val="24"/>
        </w:rPr>
        <w:t>析</w:t>
      </w:r>
      <w:bookmarkEnd w:id="342"/>
      <w:bookmarkEnd w:id="343"/>
    </w:p>
    <w:p>
      <w:pPr>
        <w:pStyle w:val="2"/>
        <w:spacing w:line="360" w:lineRule="auto"/>
        <w:ind w:left="0" w:leftChars="0" w:firstLine="480" w:firstLineChars="200"/>
        <w:rPr>
          <w:rFonts w:hint="eastAsia"/>
          <w:b w:val="0"/>
          <w:bCs w:val="0"/>
          <w:sz w:val="24"/>
          <w:szCs w:val="24"/>
          <w:lang w:val="en-US" w:eastAsia="zh-CN"/>
        </w:rPr>
      </w:pPr>
      <w:r>
        <w:rPr>
          <w:sz w:val="24"/>
        </w:rPr>
        <w:t>本项目</w:t>
      </w:r>
      <w:r>
        <w:rPr>
          <w:rFonts w:hint="eastAsia"/>
          <w:sz w:val="24"/>
        </w:rPr>
        <w:t>废水主要为生活污水、医废转运车消毒废水、周转箱消毒废水、地面消毒废水、医废转运车清洗废水、周转箱清洗废水、地面清洗废水、蒸汽发生器排水、电锅炉排污</w:t>
      </w:r>
      <w:r>
        <w:rPr>
          <w:rFonts w:hint="eastAsia"/>
          <w:color w:val="auto"/>
          <w:sz w:val="24"/>
        </w:rPr>
        <w:t>水、</w:t>
      </w:r>
      <w:r>
        <w:rPr>
          <w:rFonts w:hint="eastAsia"/>
          <w:color w:val="auto"/>
          <w:sz w:val="24"/>
          <w:lang w:val="en-US" w:eastAsia="zh-CN"/>
        </w:rPr>
        <w:t>软水装置排污水、</w:t>
      </w:r>
      <w:r>
        <w:rPr>
          <w:rFonts w:hint="eastAsia"/>
          <w:color w:val="auto"/>
          <w:sz w:val="24"/>
        </w:rPr>
        <w:t>初期雨水。</w:t>
      </w:r>
    </w:p>
    <w:p>
      <w:pPr>
        <w:pStyle w:val="2"/>
        <w:spacing w:line="360" w:lineRule="auto"/>
        <w:ind w:left="0" w:leftChars="0" w:firstLine="480" w:firstLineChars="200"/>
        <w:rPr>
          <w:rFonts w:hint="eastAsia"/>
          <w:b w:val="0"/>
          <w:bCs w:val="0"/>
          <w:sz w:val="24"/>
          <w:szCs w:val="24"/>
          <w:lang w:val="en-US" w:eastAsia="zh-CN"/>
        </w:rPr>
      </w:pP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消毒清洗废水、蒸汽发生器排水、电锅炉排污水</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软水装置排污水1223.225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供暖季废水共627.44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lang w:val="en-US" w:eastAsia="zh-CN"/>
        </w:rPr>
        <w:t>；非供暖季废水共595.785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w:t>
      </w:r>
      <w:r>
        <w:rPr>
          <w:rFonts w:hint="default" w:ascii="Times New Roman" w:hAnsi="Times New Roman" w:cs="Times New Roman"/>
          <w:bCs/>
          <w:iCs/>
          <w:color w:val="auto"/>
          <w:sz w:val="24"/>
          <w:szCs w:val="24"/>
        </w:rPr>
        <w:t>处理车间内拟建一套一体化污水处理设施，主体处理工艺为“</w:t>
      </w:r>
      <w:r>
        <w:rPr>
          <w:rFonts w:hint="default" w:ascii="Times New Roman" w:hAnsi="Times New Roman" w:cs="Times New Roman"/>
          <w:color w:val="000000"/>
          <w:sz w:val="24"/>
          <w:szCs w:val="24"/>
          <w:highlight w:val="none"/>
          <w:lang w:val="en-US" w:eastAsia="zh-CN"/>
        </w:rPr>
        <w:t>格栅+</w:t>
      </w:r>
      <w:r>
        <w:rPr>
          <w:rFonts w:hint="default" w:ascii="Times New Roman" w:hAnsi="Times New Roman" w:cs="Times New Roman"/>
          <w:color w:val="000000"/>
          <w:sz w:val="24"/>
          <w:szCs w:val="24"/>
          <w:highlight w:val="none"/>
        </w:rPr>
        <w:t>调节池+</w:t>
      </w:r>
      <w:r>
        <w:rPr>
          <w:rFonts w:hint="default" w:ascii="Times New Roman" w:hAnsi="Times New Roman" w:cs="Times New Roman"/>
          <w:color w:val="000000"/>
          <w:sz w:val="24"/>
          <w:szCs w:val="24"/>
          <w:highlight w:val="none"/>
          <w:lang w:val="en-US" w:eastAsia="zh-CN"/>
        </w:rPr>
        <w:t>A</w:t>
      </w:r>
      <w:r>
        <w:rPr>
          <w:rFonts w:hint="default" w:ascii="Times New Roman" w:hAnsi="Times New Roman" w:cs="Times New Roman"/>
          <w:color w:val="000000"/>
          <w:sz w:val="24"/>
          <w:szCs w:val="24"/>
          <w:highlight w:val="none"/>
          <w:vertAlign w:val="subscript"/>
          <w:lang w:val="en-US" w:eastAsia="zh-CN"/>
        </w:rPr>
        <w:t>2</w:t>
      </w:r>
      <w:r>
        <w:rPr>
          <w:rFonts w:hint="default" w:ascii="Times New Roman" w:hAnsi="Times New Roman" w:cs="Times New Roman"/>
          <w:color w:val="000000"/>
          <w:sz w:val="24"/>
          <w:szCs w:val="24"/>
          <w:highlight w:val="none"/>
          <w:lang w:val="en-US" w:eastAsia="zh-CN"/>
        </w:rPr>
        <w:t>O+</w:t>
      </w:r>
      <w:r>
        <w:rPr>
          <w:rFonts w:hint="default" w:ascii="Times New Roman" w:hAnsi="Times New Roman" w:cs="Times New Roman"/>
          <w:color w:val="000000"/>
          <w:sz w:val="24"/>
          <w:szCs w:val="24"/>
          <w:highlight w:val="none"/>
        </w:rPr>
        <w:t>MBR 膜生物反应+消毒</w:t>
      </w:r>
      <w:r>
        <w:rPr>
          <w:rFonts w:hint="default" w:ascii="Times New Roman" w:hAnsi="Times New Roman" w:cs="Times New Roman"/>
          <w:bCs/>
          <w:iCs/>
          <w:color w:val="auto"/>
          <w:sz w:val="24"/>
          <w:szCs w:val="24"/>
        </w:rPr>
        <w:t>”，设计废水处理量为</w:t>
      </w:r>
      <w:r>
        <w:rPr>
          <w:rFonts w:hint="default" w:ascii="Times New Roman" w:hAnsi="Times New Roman" w:cs="Times New Roman"/>
          <w:bCs/>
          <w:iCs/>
          <w:color w:val="auto"/>
          <w:sz w:val="24"/>
          <w:szCs w:val="24"/>
          <w:lang w:val="en-US" w:eastAsia="zh-CN"/>
        </w:rPr>
        <w:t>5</w:t>
      </w:r>
      <w:r>
        <w:rPr>
          <w:rFonts w:hint="default" w:ascii="Times New Roman" w:hAnsi="Times New Roman" w:cs="Times New Roman"/>
          <w:bCs/>
          <w:iCs/>
          <w:color w:val="auto"/>
          <w:sz w:val="24"/>
          <w:szCs w:val="24"/>
        </w:rPr>
        <w:t>m</w:t>
      </w:r>
      <w:r>
        <w:rPr>
          <w:rFonts w:hint="default" w:ascii="Times New Roman" w:hAnsi="Times New Roman" w:cs="Times New Roman"/>
          <w:bCs/>
          <w:iCs/>
          <w:color w:val="auto"/>
          <w:sz w:val="24"/>
          <w:szCs w:val="24"/>
          <w:vertAlign w:val="superscript"/>
        </w:rPr>
        <w:t>3</w:t>
      </w:r>
      <w:r>
        <w:rPr>
          <w:rFonts w:hint="default" w:ascii="Times New Roman" w:hAnsi="Times New Roman" w:cs="Times New Roman"/>
          <w:bCs/>
          <w:iCs/>
          <w:color w:val="auto"/>
          <w:sz w:val="24"/>
          <w:szCs w:val="24"/>
        </w:rPr>
        <w:t>/d</w:t>
      </w:r>
      <w:r>
        <w:rPr>
          <w:rFonts w:hint="eastAsia" w:ascii="Times New Roman" w:hAnsi="Times New Roman" w:cs="Times New Roman"/>
          <w:bCs/>
          <w:iCs/>
          <w:color w:val="auto"/>
          <w:sz w:val="24"/>
          <w:szCs w:val="24"/>
          <w:lang w:eastAsia="zh-CN"/>
        </w:rPr>
        <w:t>。</w:t>
      </w:r>
      <w:r>
        <w:rPr>
          <w:rFonts w:hint="default" w:ascii="Times New Roman" w:hAnsi="Times New Roman" w:cs="Times New Roman"/>
          <w:color w:val="000000"/>
          <w:sz w:val="24"/>
          <w:szCs w:val="24"/>
          <w:lang w:val="en-US" w:eastAsia="zh-CN"/>
        </w:rPr>
        <w:t>供暖季</w:t>
      </w:r>
      <w:r>
        <w:rPr>
          <w:rFonts w:hint="eastAsia" w:ascii="Times New Roman" w:hAnsi="Times New Roman" w:cs="Times New Roman"/>
          <w:color w:val="000000"/>
          <w:sz w:val="24"/>
          <w:szCs w:val="24"/>
          <w:lang w:val="en-US" w:eastAsia="zh-CN"/>
        </w:rPr>
        <w:t>处理后</w:t>
      </w:r>
      <w:r>
        <w:rPr>
          <w:rFonts w:hint="default" w:ascii="Times New Roman" w:hAnsi="Times New Roman" w:cs="Times New Roman"/>
          <w:color w:val="000000"/>
          <w:sz w:val="24"/>
          <w:szCs w:val="24"/>
          <w:lang w:val="en-US" w:eastAsia="zh-CN"/>
        </w:rPr>
        <w:t>废水（</w:t>
      </w:r>
      <w:r>
        <w:rPr>
          <w:rFonts w:hint="default" w:ascii="Times New Roman" w:hAnsi="Times New Roman" w:cs="Times New Roman"/>
          <w:color w:val="auto"/>
          <w:sz w:val="24"/>
          <w:szCs w:val="24"/>
          <w:lang w:val="en-US" w:eastAsia="zh-CN"/>
        </w:rPr>
        <w:t>627.44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000000"/>
          <w:sz w:val="24"/>
          <w:szCs w:val="24"/>
          <w:lang w:val="en-US" w:eastAsia="zh-CN"/>
        </w:rPr>
        <w:t>）由罐车拉运至</w:t>
      </w:r>
      <w:r>
        <w:rPr>
          <w:rFonts w:hint="eastAsia" w:ascii="Times New Roman" w:hAnsi="Times New Roman" w:cs="Times New Roman"/>
          <w:color w:val="000000"/>
          <w:sz w:val="24"/>
          <w:szCs w:val="24"/>
          <w:lang w:val="en-US" w:eastAsia="zh-CN"/>
        </w:rPr>
        <w:t>突泉县突泉镇清源污水处理厂</w:t>
      </w:r>
      <w:r>
        <w:rPr>
          <w:rFonts w:hint="default" w:ascii="Times New Roman" w:hAnsi="Times New Roman" w:cs="Times New Roman"/>
          <w:color w:val="000000"/>
          <w:sz w:val="24"/>
          <w:szCs w:val="24"/>
          <w:lang w:val="en-US" w:eastAsia="zh-CN"/>
        </w:rPr>
        <w:t>进一步处理，非供暖季</w:t>
      </w:r>
      <w:r>
        <w:rPr>
          <w:rFonts w:hint="eastAsia" w:ascii="Times New Roman" w:hAnsi="Times New Roman" w:cs="Times New Roman"/>
          <w:color w:val="000000"/>
          <w:sz w:val="24"/>
          <w:szCs w:val="24"/>
          <w:lang w:val="en-US" w:eastAsia="zh-CN"/>
        </w:rPr>
        <w:t>处理后</w:t>
      </w:r>
      <w:r>
        <w:rPr>
          <w:rFonts w:hint="default" w:ascii="Times New Roman" w:hAnsi="Times New Roman" w:cs="Times New Roman"/>
          <w:color w:val="000000"/>
          <w:sz w:val="24"/>
          <w:szCs w:val="24"/>
          <w:lang w:val="en-US" w:eastAsia="zh-CN"/>
        </w:rPr>
        <w:t>废水（</w:t>
      </w:r>
      <w:r>
        <w:rPr>
          <w:rFonts w:hint="default" w:ascii="Times New Roman" w:hAnsi="Times New Roman" w:cs="Times New Roman"/>
          <w:color w:val="auto"/>
          <w:sz w:val="24"/>
          <w:szCs w:val="24"/>
          <w:lang w:val="en-US" w:eastAsia="zh-CN"/>
        </w:rPr>
        <w:t>595.785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000000"/>
          <w:sz w:val="24"/>
          <w:szCs w:val="24"/>
          <w:lang w:val="en-US" w:eastAsia="zh-CN"/>
        </w:rPr>
        <w:t>）回用厂区绿化</w:t>
      </w:r>
      <w:r>
        <w:rPr>
          <w:rFonts w:hint="eastAsia" w:ascii="Times New Roman" w:hAnsi="Times New Roman" w:cs="Times New Roman"/>
          <w:color w:val="000000"/>
          <w:sz w:val="24"/>
          <w:szCs w:val="24"/>
          <w:lang w:val="en-US" w:eastAsia="zh-CN"/>
        </w:rPr>
        <w:t>。生活污水排入厂区防渗化粪池内，定期由吸污车清运至</w:t>
      </w:r>
      <w:r>
        <w:rPr>
          <w:rFonts w:hint="eastAsia"/>
          <w:color w:val="auto"/>
          <w:kern w:val="0"/>
          <w:sz w:val="24"/>
          <w:szCs w:val="24"/>
          <w:lang w:val="en-US" w:eastAsia="zh-CN"/>
        </w:rPr>
        <w:t>突泉县突泉镇清源污水处理厂进一步处理</w:t>
      </w:r>
      <w:r>
        <w:rPr>
          <w:color w:val="auto"/>
          <w:sz w:val="24"/>
          <w:szCs w:val="24"/>
        </w:rPr>
        <w:t>。</w:t>
      </w:r>
    </w:p>
    <w:p>
      <w:pPr>
        <w:pStyle w:val="2"/>
        <w:spacing w:line="360" w:lineRule="auto"/>
        <w:ind w:left="0" w:leftChars="0" w:firstLine="480" w:firstLineChars="200"/>
        <w:rPr>
          <w:rFonts w:hint="eastAsia"/>
          <w:b w:val="0"/>
          <w:bCs w:val="0"/>
          <w:sz w:val="24"/>
          <w:szCs w:val="24"/>
          <w:lang w:val="en-US" w:eastAsia="zh-CN"/>
        </w:rPr>
      </w:pPr>
      <w:r>
        <w:rPr>
          <w:rFonts w:hint="eastAsia" w:ascii="宋体" w:hAnsi="宋体" w:cs="宋体"/>
          <w:kern w:val="0"/>
          <w:sz w:val="24"/>
          <w:lang w:bidi="ar"/>
        </w:rPr>
        <w:t>重点防渗区：处理车间上料</w:t>
      </w:r>
      <w:r>
        <w:rPr>
          <w:rFonts w:hint="eastAsia" w:ascii="宋体" w:hAnsi="宋体" w:cs="宋体"/>
          <w:kern w:val="0"/>
          <w:sz w:val="24"/>
          <w:lang w:val="en-US" w:eastAsia="zh-CN" w:bidi="ar"/>
        </w:rPr>
        <w:t>区</w:t>
      </w:r>
      <w:r>
        <w:rPr>
          <w:rFonts w:hint="eastAsia" w:ascii="宋体" w:hAnsi="宋体" w:cs="宋体"/>
          <w:kern w:val="0"/>
          <w:sz w:val="24"/>
          <w:lang w:bidi="ar"/>
        </w:rPr>
        <w:t>、</w:t>
      </w:r>
      <w:r>
        <w:rPr>
          <w:rFonts w:hint="eastAsia" w:ascii="宋体" w:hAnsi="宋体" w:cs="宋体"/>
          <w:kern w:val="0"/>
          <w:sz w:val="24"/>
          <w:lang w:val="en-US" w:eastAsia="zh-CN" w:bidi="ar"/>
        </w:rPr>
        <w:t>高温蒸汽</w:t>
      </w:r>
      <w:r>
        <w:rPr>
          <w:rFonts w:hint="eastAsia" w:ascii="宋体" w:hAnsi="宋体" w:cs="宋体"/>
          <w:kern w:val="0"/>
          <w:sz w:val="24"/>
          <w:lang w:bidi="ar"/>
        </w:rPr>
        <w:t>处理系统区、污水处理区、周转桶消毒清洗池、洗车间、周转桶晾晒间、冷库、消毒物资</w:t>
      </w:r>
      <w:r>
        <w:rPr>
          <w:rFonts w:hint="eastAsia" w:ascii="宋体" w:hAnsi="宋体" w:cs="宋体"/>
          <w:kern w:val="0"/>
          <w:sz w:val="24"/>
          <w:lang w:val="en-US" w:eastAsia="zh-CN" w:bidi="ar"/>
        </w:rPr>
        <w:t>间</w:t>
      </w:r>
      <w:r>
        <w:rPr>
          <w:rFonts w:hint="eastAsia" w:ascii="宋体" w:hAnsi="宋体" w:cs="宋体"/>
          <w:kern w:val="0"/>
          <w:sz w:val="24"/>
          <w:lang w:bidi="ar"/>
        </w:rPr>
        <w:t>、危废暂存间、化粪池、事故池；一般防渗区：处理车间出料</w:t>
      </w:r>
      <w:r>
        <w:rPr>
          <w:rFonts w:hint="eastAsia" w:ascii="宋体" w:hAnsi="宋体" w:cs="宋体"/>
          <w:kern w:val="0"/>
          <w:sz w:val="24"/>
          <w:lang w:val="en-US" w:eastAsia="zh-CN" w:bidi="ar"/>
        </w:rPr>
        <w:t>区</w:t>
      </w:r>
      <w:r>
        <w:rPr>
          <w:rFonts w:hint="eastAsia" w:ascii="宋体" w:hAnsi="宋体" w:cs="宋体"/>
          <w:kern w:val="0"/>
          <w:sz w:val="24"/>
          <w:lang w:bidi="ar"/>
        </w:rPr>
        <w:t>、消防水池；简单防渗区：配电室、中控室、更衣淋浴间、车库、卫生间、办公生活管理区、厂区道路等。重点防渗区防渗层的防渗性能应达到等效黏土防渗层</w:t>
      </w:r>
      <w:r>
        <w:rPr>
          <w:rFonts w:ascii="TimesNewRomanPSMT" w:hAnsi="TimesNewRomanPSMT" w:eastAsia="TimesNewRomanPSMT" w:cs="TimesNewRomanPSMT"/>
          <w:kern w:val="0"/>
          <w:sz w:val="24"/>
          <w:lang w:bidi="ar"/>
        </w:rPr>
        <w:t>Mb</w:t>
      </w:r>
      <w:r>
        <w:rPr>
          <w:kern w:val="0"/>
          <w:sz w:val="24"/>
          <w:lang w:bidi="ar"/>
        </w:rPr>
        <w:t>≥</w:t>
      </w:r>
      <w:r>
        <w:rPr>
          <w:rFonts w:ascii="TimesNewRomanPSMT" w:hAnsi="TimesNewRomanPSMT" w:eastAsia="TimesNewRomanPSMT" w:cs="TimesNewRomanPSMT"/>
          <w:kern w:val="0"/>
          <w:sz w:val="24"/>
          <w:lang w:bidi="ar"/>
        </w:rPr>
        <w:t>6.0m</w:t>
      </w:r>
      <w:r>
        <w:rPr>
          <w:rFonts w:hint="eastAsia" w:ascii="宋体" w:hAnsi="宋体" w:cs="宋体"/>
          <w:kern w:val="0"/>
          <w:sz w:val="24"/>
          <w:lang w:bidi="ar"/>
        </w:rPr>
        <w:t>，渗透系数</w:t>
      </w:r>
      <w:r>
        <w:rPr>
          <w:rFonts w:ascii="TimesNewRomanPSMT" w:hAnsi="TimesNewRomanPSMT" w:eastAsia="TimesNewRomanPSMT" w:cs="TimesNewRomanPSMT"/>
          <w:kern w:val="0"/>
          <w:sz w:val="24"/>
          <w:lang w:bidi="ar"/>
        </w:rPr>
        <w:t>K</w:t>
      </w:r>
      <w:r>
        <w:rPr>
          <w:kern w:val="0"/>
          <w:sz w:val="24"/>
          <w:lang w:bidi="ar"/>
        </w:rPr>
        <w:t>≤</w:t>
      </w:r>
      <w:r>
        <w:rPr>
          <w:rFonts w:ascii="TimesNewRomanPSMT" w:hAnsi="TimesNewRomanPSMT" w:eastAsia="TimesNewRomanPSMT" w:cs="TimesNewRomanPSMT"/>
          <w:kern w:val="0"/>
          <w:sz w:val="24"/>
          <w:lang w:bidi="ar"/>
        </w:rPr>
        <w:t>1×10</w:t>
      </w:r>
      <w:r>
        <w:rPr>
          <w:rFonts w:hint="eastAsia" w:ascii="TimesNewRomanPSMT" w:hAnsi="TimesNewRomanPSMT" w:eastAsia="TimesNewRomanPSMT" w:cs="TimesNewRomanPSMT"/>
          <w:kern w:val="0"/>
          <w:sz w:val="24"/>
          <w:vertAlign w:val="superscript"/>
          <w:lang w:bidi="ar"/>
        </w:rPr>
        <w:t>-</w:t>
      </w:r>
      <w:r>
        <w:rPr>
          <w:rFonts w:hint="eastAsia" w:ascii="TimesNewRomanPSMT" w:hAnsi="TimesNewRomanPSMT" w:eastAsia="宋体" w:cs="TimesNewRomanPSMT"/>
          <w:kern w:val="0"/>
          <w:sz w:val="24"/>
          <w:vertAlign w:val="superscript"/>
          <w:lang w:val="en-US" w:eastAsia="zh-CN" w:bidi="ar"/>
        </w:rPr>
        <w:t>10</w:t>
      </w:r>
      <w:r>
        <w:rPr>
          <w:rFonts w:ascii="TimesNewRomanPSMT" w:hAnsi="TimesNewRomanPSMT" w:eastAsia="TimesNewRomanPSMT" w:cs="TimesNewRomanPSMT"/>
          <w:kern w:val="0"/>
          <w:sz w:val="24"/>
          <w:lang w:bidi="ar"/>
        </w:rPr>
        <w:t xml:space="preserve">cm/s </w:t>
      </w:r>
      <w:r>
        <w:rPr>
          <w:rFonts w:hint="eastAsia" w:ascii="宋体" w:hAnsi="宋体" w:cs="宋体"/>
          <w:kern w:val="0"/>
          <w:sz w:val="24"/>
          <w:lang w:bidi="ar"/>
        </w:rPr>
        <w:t xml:space="preserve">；一般防渗区的防渗性能应达到等效黏土防渗层 </w:t>
      </w:r>
      <w:r>
        <w:rPr>
          <w:rFonts w:ascii="TimesNewRomanPSMT" w:hAnsi="TimesNewRomanPSMT" w:eastAsia="TimesNewRomanPSMT" w:cs="TimesNewRomanPSMT"/>
          <w:kern w:val="0"/>
          <w:sz w:val="24"/>
          <w:lang w:bidi="ar"/>
        </w:rPr>
        <w:t>Mb</w:t>
      </w:r>
      <w:r>
        <w:rPr>
          <w:kern w:val="0"/>
          <w:sz w:val="24"/>
          <w:lang w:bidi="ar"/>
        </w:rPr>
        <w:t>≥</w:t>
      </w:r>
      <w:r>
        <w:rPr>
          <w:rFonts w:ascii="TimesNewRomanPSMT" w:hAnsi="TimesNewRomanPSMT" w:eastAsia="TimesNewRomanPSMT" w:cs="TimesNewRomanPSMT"/>
          <w:kern w:val="0"/>
          <w:sz w:val="24"/>
          <w:lang w:bidi="ar"/>
        </w:rPr>
        <w:t>1.5m</w:t>
      </w:r>
      <w:r>
        <w:rPr>
          <w:rFonts w:hint="eastAsia" w:ascii="宋体" w:hAnsi="宋体" w:cs="宋体"/>
          <w:kern w:val="0"/>
          <w:sz w:val="24"/>
          <w:lang w:bidi="ar"/>
        </w:rPr>
        <w:t>，渗透系数</w:t>
      </w:r>
      <w:r>
        <w:rPr>
          <w:rFonts w:ascii="TimesNewRomanPSMT" w:hAnsi="TimesNewRomanPSMT" w:eastAsia="TimesNewRomanPSMT" w:cs="TimesNewRomanPSMT"/>
          <w:kern w:val="0"/>
          <w:sz w:val="24"/>
          <w:lang w:bidi="ar"/>
        </w:rPr>
        <w:t>K</w:t>
      </w:r>
      <w:r>
        <w:rPr>
          <w:kern w:val="0"/>
          <w:sz w:val="24"/>
          <w:lang w:bidi="ar"/>
        </w:rPr>
        <w:t>≤</w:t>
      </w:r>
      <w:r>
        <w:rPr>
          <w:rFonts w:ascii="TimesNewRomanPSMT" w:hAnsi="TimesNewRomanPSMT" w:eastAsia="TimesNewRomanPSMT" w:cs="TimesNewRomanPSMT"/>
          <w:kern w:val="0"/>
          <w:sz w:val="24"/>
          <w:lang w:bidi="ar"/>
        </w:rPr>
        <w:t>1×10</w:t>
      </w:r>
      <w:r>
        <w:rPr>
          <w:rFonts w:hint="eastAsia" w:ascii="TimesNewRomanPSMT" w:hAnsi="TimesNewRomanPSMT" w:eastAsia="TimesNewRomanPSMT" w:cs="TimesNewRomanPSMT"/>
          <w:kern w:val="0"/>
          <w:sz w:val="24"/>
          <w:vertAlign w:val="superscript"/>
          <w:lang w:bidi="ar"/>
        </w:rPr>
        <w:t>-7</w:t>
      </w:r>
      <w:r>
        <w:rPr>
          <w:rFonts w:ascii="TimesNewRomanPSMT" w:hAnsi="TimesNewRomanPSMT" w:eastAsia="TimesNewRomanPSMT" w:cs="TimesNewRomanPSMT"/>
          <w:kern w:val="0"/>
          <w:sz w:val="24"/>
          <w:lang w:bidi="ar"/>
        </w:rPr>
        <w:t>cm/s</w:t>
      </w:r>
      <w:r>
        <w:rPr>
          <w:rFonts w:hint="eastAsia" w:ascii="宋体" w:hAnsi="宋体" w:cs="宋体"/>
          <w:kern w:val="0"/>
          <w:sz w:val="23"/>
          <w:szCs w:val="23"/>
          <w:lang w:bidi="ar"/>
        </w:rPr>
        <w:t>；</w:t>
      </w:r>
      <w:r>
        <w:rPr>
          <w:rFonts w:hint="eastAsia" w:ascii="宋体" w:hAnsi="宋体" w:cs="宋体"/>
          <w:kern w:val="0"/>
          <w:sz w:val="24"/>
          <w:lang w:bidi="ar"/>
        </w:rPr>
        <w:t>简单防渗区采用水泥硬化。</w:t>
      </w:r>
    </w:p>
    <w:p>
      <w:pPr>
        <w:pStyle w:val="6"/>
        <w:spacing w:before="0" w:after="0" w:line="360" w:lineRule="auto"/>
        <w:rPr>
          <w:rFonts w:hint="default" w:ascii="Times New Roman" w:hAnsi="Times New Roman" w:cs="Times New Roman"/>
          <w:kern w:val="0"/>
          <w:sz w:val="24"/>
          <w:szCs w:val="24"/>
        </w:rPr>
      </w:pPr>
      <w:bookmarkStart w:id="344" w:name="_Toc439257965"/>
      <w:bookmarkStart w:id="345" w:name="_Toc30711"/>
      <w:bookmarkStart w:id="346" w:name="_Toc16557"/>
      <w:r>
        <w:rPr>
          <w:rFonts w:hint="default" w:ascii="Times New Roman" w:hAnsi="Times New Roman" w:cs="Times New Roman"/>
          <w:kern w:val="0"/>
          <w:sz w:val="24"/>
          <w:szCs w:val="24"/>
        </w:rPr>
        <w:t>9.7.3</w:t>
      </w:r>
      <w:bookmarkEnd w:id="344"/>
      <w:r>
        <w:rPr>
          <w:rFonts w:hint="default" w:ascii="Times New Roman" w:hAnsi="Times New Roman" w:cs="Times New Roman"/>
          <w:kern w:val="0"/>
          <w:sz w:val="24"/>
          <w:szCs w:val="24"/>
        </w:rPr>
        <w:t>噪声污染防治措施及环境影响分析</w:t>
      </w:r>
      <w:bookmarkEnd w:id="345"/>
      <w:bookmarkEnd w:id="346"/>
    </w:p>
    <w:p>
      <w:pPr>
        <w:spacing w:line="360" w:lineRule="auto"/>
        <w:ind w:firstLine="480" w:firstLineChars="200"/>
        <w:rPr>
          <w:rFonts w:hint="eastAsia" w:ascii="Times New Roman" w:hAnsi="Times New Roman" w:cs="Times New Roman" w:eastAsiaTheme="minorEastAsia"/>
          <w:sz w:val="24"/>
          <w:lang w:eastAsia="zh-CN"/>
        </w:rPr>
      </w:pPr>
      <w:bookmarkStart w:id="347" w:name="_Toc439257966"/>
      <w:r>
        <w:rPr>
          <w:rFonts w:hint="default" w:ascii="Times New Roman" w:hAnsi="Times New Roman" w:cs="Times New Roman"/>
          <w:sz w:val="24"/>
        </w:rPr>
        <w:t>采用低噪声设备、基础减振、建筑隔声等措施，厂界噪声符合《工业企业厂界环境噪声排放标准》（GB12348-2008）2类标准，且厂区周边200m范围无声环境敏感点，因此，噪声对周边声环境影响较小</w:t>
      </w:r>
      <w:r>
        <w:rPr>
          <w:rFonts w:hint="eastAsia" w:ascii="Times New Roman" w:hAnsi="Times New Roman" w:cs="Times New Roman"/>
          <w:sz w:val="24"/>
          <w:lang w:eastAsia="zh-CN"/>
        </w:rPr>
        <w:t>。</w:t>
      </w:r>
    </w:p>
    <w:bookmarkEnd w:id="347"/>
    <w:p>
      <w:pPr>
        <w:pStyle w:val="6"/>
        <w:spacing w:before="0" w:after="0" w:line="360" w:lineRule="auto"/>
        <w:rPr>
          <w:rFonts w:hint="default" w:ascii="Times New Roman" w:hAnsi="Times New Roman" w:cs="Times New Roman"/>
          <w:kern w:val="0"/>
          <w:sz w:val="24"/>
          <w:szCs w:val="24"/>
        </w:rPr>
      </w:pPr>
      <w:bookmarkStart w:id="348" w:name="_Toc29550"/>
      <w:bookmarkStart w:id="349" w:name="_Toc18561"/>
      <w:r>
        <w:rPr>
          <w:rFonts w:hint="default" w:ascii="Times New Roman" w:hAnsi="Times New Roman" w:cs="Times New Roman"/>
          <w:kern w:val="0"/>
          <w:sz w:val="24"/>
          <w:szCs w:val="24"/>
        </w:rPr>
        <w:t>9.7.4固体废物污染防治措施及环境影响分析</w:t>
      </w:r>
      <w:bookmarkEnd w:id="348"/>
      <w:bookmarkEnd w:id="349"/>
    </w:p>
    <w:p>
      <w:pPr>
        <w:pStyle w:val="2"/>
        <w:spacing w:line="360" w:lineRule="auto"/>
        <w:ind w:left="0" w:leftChars="0" w:firstLine="480" w:firstLineChars="200"/>
        <w:rPr>
          <w:rFonts w:hint="eastAsia"/>
          <w:b w:val="0"/>
          <w:bCs w:val="0"/>
          <w:sz w:val="24"/>
          <w:szCs w:val="24"/>
          <w:lang w:val="en-US" w:eastAsia="zh-CN"/>
        </w:rPr>
      </w:pPr>
      <w:r>
        <w:rPr>
          <w:rFonts w:hint="eastAsia"/>
          <w:sz w:val="24"/>
        </w:rPr>
        <w:t>本项目运营期产生的固体废物主要为生活垃圾、</w:t>
      </w:r>
      <w:r>
        <w:rPr>
          <w:rFonts w:hint="eastAsia"/>
          <w:sz w:val="24"/>
          <w:lang w:val="en-US" w:eastAsia="zh-CN"/>
        </w:rPr>
        <w:t>高温蒸汽</w:t>
      </w:r>
      <w:r>
        <w:rPr>
          <w:sz w:val="24"/>
        </w:rPr>
        <w:t>消毒系统处理后</w:t>
      </w:r>
      <w:r>
        <w:rPr>
          <w:rFonts w:hint="eastAsia"/>
          <w:sz w:val="24"/>
        </w:rPr>
        <w:t>医疗废物、废活性炭、废UV灯管、污泥、废周转箱及废一次性防护用品。</w:t>
      </w:r>
    </w:p>
    <w:p>
      <w:pPr>
        <w:pStyle w:val="2"/>
        <w:spacing w:line="360" w:lineRule="auto"/>
        <w:rPr>
          <w:rFonts w:hint="default" w:eastAsiaTheme="minorEastAsia"/>
          <w:b w:val="0"/>
          <w:bCs w:val="0"/>
          <w:sz w:val="24"/>
          <w:szCs w:val="24"/>
          <w:lang w:val="en-US" w:eastAsia="zh-CN"/>
        </w:rPr>
      </w:pPr>
      <w:r>
        <w:rPr>
          <w:rFonts w:hint="eastAsia"/>
          <w:b w:val="0"/>
          <w:bCs w:val="0"/>
          <w:sz w:val="24"/>
          <w:szCs w:val="24"/>
          <w:lang w:val="en-US" w:eastAsia="zh-CN"/>
        </w:rPr>
        <w:t>本项目生活垃圾集中收集于垃圾箱，转运至项目东侧阿尔山市生活垃圾填埋场填埋处置；高温蒸汽消毒系统处理后医疗废物运往阿尔山市生活垃圾填埋场填埋处置；</w:t>
      </w:r>
      <w:r>
        <w:rPr>
          <w:rFonts w:hint="eastAsia"/>
          <w:sz w:val="24"/>
        </w:rPr>
        <w:t>废活性炭、废UV灯管、污泥属于危险废物，消毒后暂存危废暂存间，委托有危废资质单位处置；废周转箱及废一次性防护用品进入医疗废物处理中心处理后进入</w:t>
      </w:r>
      <w:r>
        <w:rPr>
          <w:rFonts w:hint="eastAsia"/>
          <w:sz w:val="24"/>
          <w:lang w:val="en-US" w:eastAsia="zh-CN"/>
        </w:rPr>
        <w:t>阿尔山市生活垃圾填埋场填埋处置。</w:t>
      </w:r>
    </w:p>
    <w:p>
      <w:pPr>
        <w:pStyle w:val="2"/>
        <w:spacing w:line="360" w:lineRule="auto"/>
        <w:rPr>
          <w:rFonts w:hint="eastAsia"/>
          <w:b w:val="0"/>
          <w:bCs w:val="0"/>
          <w:sz w:val="24"/>
          <w:szCs w:val="24"/>
          <w:lang w:val="en-US" w:eastAsia="zh-CN"/>
        </w:rPr>
      </w:pPr>
      <w:r>
        <w:rPr>
          <w:sz w:val="24"/>
        </w:rPr>
        <w:t>本项目在采取有效的措施后，</w:t>
      </w:r>
      <w:r>
        <w:rPr>
          <w:rFonts w:hint="eastAsia"/>
          <w:sz w:val="24"/>
        </w:rPr>
        <w:t>所有</w:t>
      </w:r>
      <w:r>
        <w:rPr>
          <w:sz w:val="24"/>
        </w:rPr>
        <w:t>固废</w:t>
      </w:r>
      <w:r>
        <w:rPr>
          <w:rFonts w:hint="eastAsia"/>
          <w:sz w:val="24"/>
        </w:rPr>
        <w:t>都</w:t>
      </w:r>
      <w:r>
        <w:rPr>
          <w:sz w:val="24"/>
        </w:rPr>
        <w:t>能得到妥善处置，</w:t>
      </w:r>
      <w:r>
        <w:rPr>
          <w:rFonts w:hint="eastAsia"/>
          <w:sz w:val="24"/>
        </w:rPr>
        <w:t>不会对周围环境产生太大影响</w:t>
      </w:r>
      <w:r>
        <w:rPr>
          <w:sz w:val="24"/>
        </w:rPr>
        <w:t>。</w:t>
      </w:r>
    </w:p>
    <w:p>
      <w:pPr>
        <w:pStyle w:val="6"/>
        <w:spacing w:before="0" w:after="0" w:line="360" w:lineRule="auto"/>
        <w:rPr>
          <w:rFonts w:hint="eastAsia"/>
          <w:kern w:val="0"/>
          <w:sz w:val="24"/>
          <w:szCs w:val="24"/>
        </w:rPr>
      </w:pPr>
      <w:bookmarkStart w:id="350" w:name="_Toc18658"/>
      <w:bookmarkStart w:id="351" w:name="_Toc10431"/>
      <w:r>
        <w:rPr>
          <w:rFonts w:hint="default" w:ascii="Times New Roman" w:hAnsi="Times New Roman" w:cs="Times New Roman"/>
          <w:kern w:val="0"/>
          <w:sz w:val="24"/>
          <w:szCs w:val="24"/>
        </w:rPr>
        <w:t>9.7.5土壤环境污染防治措施及环境影响分析</w:t>
      </w:r>
      <w:bookmarkEnd w:id="350"/>
      <w:bookmarkEnd w:id="351"/>
    </w:p>
    <w:p>
      <w:pPr>
        <w:pStyle w:val="2"/>
        <w:spacing w:line="360" w:lineRule="auto"/>
        <w:ind w:left="0" w:leftChars="0" w:firstLine="480" w:firstLineChars="200"/>
        <w:rPr>
          <w:rFonts w:hint="eastAsia"/>
          <w:b w:val="0"/>
          <w:bCs w:val="0"/>
          <w:sz w:val="24"/>
          <w:szCs w:val="24"/>
          <w:lang w:val="en-US" w:eastAsia="zh-CN"/>
        </w:rPr>
      </w:pPr>
      <w:r>
        <w:rPr>
          <w:rFonts w:hint="eastAsia"/>
          <w:color w:val="000000"/>
          <w:sz w:val="24"/>
          <w:szCs w:val="21"/>
        </w:rPr>
        <w:t>（1）</w:t>
      </w:r>
      <w:r>
        <w:rPr>
          <w:color w:val="000000"/>
          <w:sz w:val="24"/>
          <w:szCs w:val="21"/>
        </w:rPr>
        <w:t>运营期外排</w:t>
      </w:r>
      <w:r>
        <w:rPr>
          <w:rFonts w:hint="eastAsia"/>
          <w:color w:val="000000"/>
          <w:sz w:val="24"/>
          <w:szCs w:val="21"/>
        </w:rPr>
        <w:t>的</w:t>
      </w:r>
      <w:r>
        <w:rPr>
          <w:color w:val="000000"/>
          <w:sz w:val="24"/>
          <w:szCs w:val="21"/>
        </w:rPr>
        <w:t>各项废气污染物在严格的控制措施下，均为达标排放，并且根据环境空气的污染预测</w:t>
      </w:r>
      <w:r>
        <w:rPr>
          <w:color w:val="auto"/>
          <w:sz w:val="24"/>
          <w:szCs w:val="21"/>
        </w:rPr>
        <w:t>结果，各项污染物对区域污染的贡献量均较小，因此本项目</w:t>
      </w:r>
      <w:r>
        <w:rPr>
          <w:rFonts w:hint="eastAsia"/>
          <w:color w:val="auto"/>
          <w:sz w:val="24"/>
          <w:szCs w:val="21"/>
        </w:rPr>
        <w:t>产生的废气污染物</w:t>
      </w:r>
      <w:r>
        <w:rPr>
          <w:color w:val="auto"/>
          <w:sz w:val="24"/>
          <w:szCs w:val="21"/>
        </w:rPr>
        <w:t>对区域土壤环境不会产生较明显的影响。</w:t>
      </w:r>
    </w:p>
    <w:p>
      <w:pPr>
        <w:widowControl/>
        <w:spacing w:line="360" w:lineRule="auto"/>
        <w:ind w:firstLine="480" w:firstLineChars="200"/>
        <w:jc w:val="left"/>
        <w:rPr>
          <w:color w:val="auto"/>
          <w:spacing w:val="4"/>
          <w:sz w:val="24"/>
          <w:szCs w:val="21"/>
        </w:rPr>
      </w:pPr>
      <w:r>
        <w:rPr>
          <w:rFonts w:hint="default" w:ascii="Times New Roman" w:hAnsi="Times New Roman" w:cs="Times New Roman"/>
          <w:b w:val="0"/>
          <w:bCs w:val="0"/>
          <w:sz w:val="24"/>
          <w:szCs w:val="24"/>
          <w:lang w:val="en-US" w:eastAsia="zh-CN"/>
        </w:rPr>
        <w:t>（2）</w:t>
      </w:r>
      <w:r>
        <w:rPr>
          <w:rFonts w:hint="default" w:ascii="Times New Roman" w:hAnsi="Times New Roman" w:cs="Times New Roman"/>
          <w:color w:val="auto"/>
          <w:sz w:val="24"/>
          <w:szCs w:val="21"/>
        </w:rPr>
        <w:t>运营期项目区内设置一座处理能力为</w:t>
      </w:r>
      <w:r>
        <w:rPr>
          <w:rFonts w:hint="default" w:ascii="Times New Roman" w:hAnsi="Times New Roman" w:cs="Times New Roman"/>
          <w:color w:val="auto"/>
          <w:sz w:val="24"/>
          <w:szCs w:val="21"/>
          <w:lang w:val="en-US" w:eastAsia="zh-CN"/>
        </w:rPr>
        <w:t>5</w:t>
      </w:r>
      <w:r>
        <w:rPr>
          <w:rFonts w:hint="default" w:ascii="Times New Roman" w:hAnsi="Times New Roman" w:cs="Times New Roman"/>
          <w:color w:val="auto"/>
          <w:sz w:val="24"/>
          <w:szCs w:val="21"/>
        </w:rPr>
        <w:t>m</w:t>
      </w:r>
      <w:r>
        <w:rPr>
          <w:rFonts w:hint="default" w:ascii="Times New Roman" w:hAnsi="Times New Roman" w:cs="Times New Roman"/>
          <w:color w:val="auto"/>
          <w:sz w:val="24"/>
          <w:szCs w:val="21"/>
          <w:vertAlign w:val="superscript"/>
        </w:rPr>
        <w:t>3</w:t>
      </w:r>
      <w:r>
        <w:rPr>
          <w:rFonts w:hint="default" w:ascii="Times New Roman" w:hAnsi="Times New Roman" w:cs="Times New Roman"/>
          <w:color w:val="auto"/>
          <w:sz w:val="24"/>
          <w:szCs w:val="21"/>
        </w:rPr>
        <w:t>/d的一体化污</w:t>
      </w:r>
      <w:r>
        <w:rPr>
          <w:rFonts w:hint="eastAsia"/>
          <w:color w:val="auto"/>
          <w:sz w:val="24"/>
          <w:szCs w:val="21"/>
        </w:rPr>
        <w:t>水处理设施，</w:t>
      </w:r>
      <w:r>
        <w:rPr>
          <w:rFonts w:hint="eastAsia"/>
          <w:color w:val="auto"/>
          <w:sz w:val="24"/>
          <w:szCs w:val="21"/>
          <w:lang w:val="en-US" w:eastAsia="zh-CN"/>
        </w:rPr>
        <w:t>非供暖季</w:t>
      </w:r>
      <w:r>
        <w:rPr>
          <w:rFonts w:hint="eastAsia"/>
          <w:color w:val="auto"/>
          <w:sz w:val="24"/>
          <w:szCs w:val="21"/>
        </w:rPr>
        <w:t>项目区生产废水</w:t>
      </w:r>
      <w:r>
        <w:rPr>
          <w:rFonts w:hint="eastAsia"/>
          <w:color w:val="auto"/>
          <w:sz w:val="24"/>
          <w:szCs w:val="24"/>
        </w:rPr>
        <w:t>经处理车间内污水处理设施处理达标后</w:t>
      </w:r>
      <w:r>
        <w:rPr>
          <w:rFonts w:hint="eastAsia"/>
          <w:color w:val="auto"/>
          <w:sz w:val="24"/>
          <w:szCs w:val="24"/>
          <w:lang w:val="en-US" w:eastAsia="zh-CN"/>
        </w:rPr>
        <w:t>回用厂区绿化，供暖季</w:t>
      </w:r>
      <w:r>
        <w:rPr>
          <w:rFonts w:hint="eastAsia"/>
          <w:color w:val="auto"/>
          <w:sz w:val="24"/>
          <w:szCs w:val="21"/>
        </w:rPr>
        <w:t>项目区生产废水</w:t>
      </w:r>
      <w:r>
        <w:rPr>
          <w:rFonts w:hint="eastAsia"/>
          <w:color w:val="auto"/>
          <w:sz w:val="24"/>
          <w:szCs w:val="24"/>
        </w:rPr>
        <w:t>经处理车间内污水处理设施处理达标后</w:t>
      </w:r>
      <w:r>
        <w:rPr>
          <w:rFonts w:hint="eastAsia"/>
          <w:color w:val="auto"/>
          <w:sz w:val="24"/>
          <w:szCs w:val="24"/>
          <w:lang w:val="en-US" w:eastAsia="zh-CN"/>
        </w:rPr>
        <w:t>由罐车拉运至突泉县突泉镇清源污水处理厂进一步处理。</w:t>
      </w:r>
      <w:r>
        <w:rPr>
          <w:color w:val="auto"/>
          <w:spacing w:val="4"/>
          <w:sz w:val="24"/>
          <w:szCs w:val="24"/>
        </w:rPr>
        <w:t>因此，项目产生的废水不会对区域</w:t>
      </w:r>
      <w:r>
        <w:rPr>
          <w:rFonts w:hint="eastAsia"/>
          <w:color w:val="auto"/>
          <w:spacing w:val="4"/>
          <w:sz w:val="24"/>
          <w:szCs w:val="24"/>
        </w:rPr>
        <w:t>土壤</w:t>
      </w:r>
      <w:r>
        <w:rPr>
          <w:color w:val="auto"/>
          <w:spacing w:val="4"/>
          <w:sz w:val="24"/>
          <w:szCs w:val="24"/>
        </w:rPr>
        <w:t>环境产生明显影响。同时，对</w:t>
      </w:r>
      <w:r>
        <w:rPr>
          <w:rFonts w:hint="eastAsia"/>
          <w:color w:val="auto"/>
          <w:spacing w:val="4"/>
          <w:sz w:val="24"/>
          <w:szCs w:val="24"/>
        </w:rPr>
        <w:t>项目</w:t>
      </w:r>
      <w:r>
        <w:rPr>
          <w:color w:val="auto"/>
          <w:spacing w:val="4"/>
          <w:sz w:val="24"/>
          <w:szCs w:val="21"/>
        </w:rPr>
        <w:t>区</w:t>
      </w:r>
      <w:r>
        <w:rPr>
          <w:rFonts w:hint="eastAsia"/>
          <w:color w:val="auto"/>
          <w:spacing w:val="4"/>
          <w:sz w:val="24"/>
          <w:szCs w:val="21"/>
        </w:rPr>
        <w:t>污水处理设施</w:t>
      </w:r>
      <w:r>
        <w:rPr>
          <w:color w:val="auto"/>
          <w:spacing w:val="4"/>
          <w:sz w:val="24"/>
          <w:szCs w:val="21"/>
        </w:rPr>
        <w:t>管道加强巡检防止跑冒滴漏，在企业严格按照操作规程进行的情况下，不会对区域的土壤环境造成影响。</w:t>
      </w:r>
    </w:p>
    <w:p>
      <w:pPr>
        <w:pStyle w:val="2"/>
        <w:spacing w:line="360" w:lineRule="auto"/>
        <w:rPr>
          <w:rFonts w:hint="default" w:eastAsiaTheme="minorEastAsia"/>
          <w:b w:val="0"/>
          <w:bCs w:val="0"/>
          <w:sz w:val="24"/>
          <w:szCs w:val="24"/>
          <w:lang w:val="en-US" w:eastAsia="zh-CN"/>
        </w:rPr>
      </w:pPr>
      <w:r>
        <w:rPr>
          <w:rFonts w:hint="eastAsia"/>
          <w:color w:val="auto"/>
          <w:spacing w:val="4"/>
          <w:sz w:val="24"/>
          <w:szCs w:val="21"/>
        </w:rPr>
        <w:t>（3）</w:t>
      </w:r>
      <w:r>
        <w:rPr>
          <w:color w:val="auto"/>
          <w:spacing w:val="4"/>
          <w:sz w:val="24"/>
          <w:szCs w:val="21"/>
        </w:rPr>
        <w:t>运营期的固废采用了相应的治理措施，可保证全部的固体废物均能得到妥善处置，因此不会对区域的土壤环境造成</w:t>
      </w:r>
      <w:r>
        <w:rPr>
          <w:color w:val="000000"/>
          <w:spacing w:val="4"/>
          <w:sz w:val="24"/>
          <w:szCs w:val="21"/>
        </w:rPr>
        <w:t>影响。</w:t>
      </w:r>
    </w:p>
    <w:p>
      <w:pPr>
        <w:pStyle w:val="6"/>
        <w:spacing w:before="0" w:after="0" w:line="360" w:lineRule="auto"/>
        <w:rPr>
          <w:rFonts w:hint="default" w:ascii="Times New Roman" w:hAnsi="Times New Roman" w:cs="Times New Roman"/>
          <w:kern w:val="0"/>
          <w:sz w:val="24"/>
          <w:szCs w:val="24"/>
        </w:rPr>
      </w:pPr>
      <w:bookmarkStart w:id="352" w:name="_Toc684"/>
      <w:bookmarkStart w:id="353" w:name="_Toc16324"/>
      <w:r>
        <w:rPr>
          <w:rFonts w:hint="default" w:ascii="Times New Roman" w:hAnsi="Times New Roman" w:cs="Times New Roman"/>
          <w:kern w:val="0"/>
          <w:sz w:val="24"/>
          <w:szCs w:val="24"/>
        </w:rPr>
        <w:t>9.7.6生态环境防治措施及环境影响分析</w:t>
      </w:r>
      <w:bookmarkEnd w:id="352"/>
      <w:bookmarkEnd w:id="353"/>
    </w:p>
    <w:p>
      <w:pPr>
        <w:widowControl/>
        <w:spacing w:line="360" w:lineRule="auto"/>
        <w:ind w:firstLine="480" w:firstLineChars="200"/>
        <w:jc w:val="left"/>
        <w:rPr>
          <w:rFonts w:hint="default" w:ascii="Times New Roman" w:hAnsi="Times New Roman" w:cs="Times New Roman"/>
          <w:color w:val="000000"/>
          <w:sz w:val="24"/>
          <w:szCs w:val="21"/>
        </w:rPr>
      </w:pPr>
      <w:r>
        <w:rPr>
          <w:rFonts w:hint="default" w:ascii="Times New Roman" w:hAnsi="Times New Roman" w:cs="Times New Roman"/>
          <w:color w:val="000000"/>
          <w:sz w:val="24"/>
          <w:szCs w:val="21"/>
        </w:rPr>
        <w:t>（1）项目建成后通过对项目区四周进行绿化、植树种草措施予以补偿。</w:t>
      </w:r>
    </w:p>
    <w:p>
      <w:pPr>
        <w:widowControl/>
        <w:spacing w:line="360" w:lineRule="auto"/>
        <w:ind w:firstLine="480" w:firstLineChars="200"/>
        <w:jc w:val="left"/>
        <w:rPr>
          <w:rFonts w:hint="default" w:ascii="Times New Roman" w:hAnsi="Times New Roman" w:cs="Times New Roman"/>
          <w:color w:val="000000"/>
          <w:sz w:val="24"/>
          <w:szCs w:val="21"/>
        </w:rPr>
      </w:pPr>
      <w:r>
        <w:rPr>
          <w:rFonts w:hint="default" w:ascii="Times New Roman" w:hAnsi="Times New Roman" w:cs="Times New Roman"/>
          <w:color w:val="000000"/>
          <w:sz w:val="24"/>
          <w:szCs w:val="21"/>
        </w:rPr>
        <w:t>（2）初步设计阶段应对场区地形进一步测绘，根据项目区建构筑物布局情况，对地形落差较大的坡面设计植草护坡，再通过绿化林的建设，进一步提高水土保持效果。</w:t>
      </w:r>
    </w:p>
    <w:p>
      <w:pPr>
        <w:pStyle w:val="2"/>
        <w:spacing w:line="360" w:lineRule="auto"/>
        <w:ind w:left="0" w:leftChars="0" w:firstLine="480" w:firstLineChars="200"/>
        <w:rPr>
          <w:rFonts w:hint="eastAsia"/>
          <w:b w:val="0"/>
          <w:bCs w:val="0"/>
          <w:sz w:val="24"/>
          <w:szCs w:val="24"/>
          <w:lang w:val="en-US" w:eastAsia="zh-CN"/>
        </w:rPr>
      </w:pPr>
      <w:r>
        <w:rPr>
          <w:rFonts w:hint="default" w:ascii="Times New Roman" w:hAnsi="Times New Roman" w:cs="Times New Roman"/>
          <w:color w:val="000000"/>
          <w:sz w:val="24"/>
          <w:szCs w:val="21"/>
        </w:rPr>
        <w:t>（3）项目区实施雨污分流，对初期雨水进行收集，项目区污水处理设施地埋，并设危废暂存间、冷库、出料间用于暂存危废及固废，不得露天堆放，不占压植被</w:t>
      </w:r>
      <w:r>
        <w:rPr>
          <w:color w:val="000000"/>
          <w:sz w:val="24"/>
          <w:szCs w:val="21"/>
        </w:rPr>
        <w:t>。</w:t>
      </w:r>
    </w:p>
    <w:p>
      <w:pPr>
        <w:pStyle w:val="2"/>
        <w:spacing w:line="360" w:lineRule="auto"/>
        <w:rPr>
          <w:rFonts w:hint="eastAsia"/>
          <w:b w:val="0"/>
          <w:bCs w:val="0"/>
          <w:sz w:val="24"/>
          <w:szCs w:val="24"/>
          <w:lang w:val="en-US" w:eastAsia="zh-CN"/>
        </w:rPr>
      </w:pPr>
      <w:r>
        <w:rPr>
          <w:sz w:val="24"/>
        </w:rPr>
        <w:t>本项目生产运营过程中涉及</w:t>
      </w:r>
      <w:r>
        <w:rPr>
          <w:rFonts w:hint="eastAsia"/>
          <w:sz w:val="24"/>
        </w:rPr>
        <w:t>危险物品为次氯酸钠、处理前医疗废物</w:t>
      </w:r>
      <w:r>
        <w:rPr>
          <w:sz w:val="24"/>
        </w:rPr>
        <w:t>，</w:t>
      </w:r>
      <w:r>
        <w:rPr>
          <w:rFonts w:hint="eastAsia"/>
          <w:sz w:val="24"/>
        </w:rPr>
        <w:t>本项目环境风险潜势等级为I，开展简单分析。</w:t>
      </w:r>
      <w:r>
        <w:rPr>
          <w:sz w:val="24"/>
        </w:rPr>
        <w:t>次氯酸钠加药器采用密闭装置，并对管道设备的各种密封部位和阀门进行经常检查，防止液体泄漏。污水处理设施处理区采取重点防渗处理，消毒物资储存间内次氯酸钠储存区设置围堰。应定期对次氯酸钠加药器进行检查、维护，对达不到安全要求的设备应进行及时更换。</w:t>
      </w:r>
    </w:p>
    <w:p>
      <w:pPr>
        <w:pStyle w:val="2"/>
        <w:spacing w:line="360" w:lineRule="auto"/>
        <w:rPr>
          <w:rFonts w:hint="eastAsia"/>
          <w:b w:val="0"/>
          <w:bCs w:val="0"/>
          <w:sz w:val="24"/>
          <w:szCs w:val="24"/>
          <w:lang w:val="en-US" w:eastAsia="zh-CN"/>
        </w:rPr>
      </w:pPr>
      <w:r>
        <w:rPr>
          <w:rFonts w:hint="eastAsia"/>
          <w:sz w:val="24"/>
          <w:lang w:val="en-US" w:eastAsia="zh-CN"/>
        </w:rPr>
        <w:t>高温蒸汽</w:t>
      </w:r>
      <w:r>
        <w:rPr>
          <w:rFonts w:hint="eastAsia"/>
          <w:sz w:val="24"/>
        </w:rPr>
        <w:t>处理前医疗废物运输、接收、贮存、处理，采取本项目提出的风险防范措施，并且</w:t>
      </w:r>
      <w:r>
        <w:rPr>
          <w:sz w:val="24"/>
        </w:rPr>
        <w:t>建设单位通过在项目营运过程中严格管理，遵守操作规程，经常对设备进行检查、维修，一旦发生事故，立即启动事故应急预案，遵章处置，在确保各项环境风险防范措施和应急预案逐项落实的前提下，本项目的环境风险是可以接受的。</w:t>
      </w:r>
    </w:p>
    <w:p>
      <w:pPr>
        <w:pStyle w:val="5"/>
        <w:spacing w:before="0" w:after="0" w:line="360" w:lineRule="auto"/>
        <w:rPr>
          <w:rFonts w:hint="eastAsia" w:ascii="Times New Roman" w:hAnsi="Times New Roman" w:eastAsia="宋体"/>
          <w:sz w:val="30"/>
          <w:szCs w:val="30"/>
        </w:rPr>
      </w:pPr>
      <w:bookmarkStart w:id="354" w:name="_Toc381868611"/>
      <w:bookmarkStart w:id="355" w:name="_Toc11810"/>
      <w:bookmarkStart w:id="356" w:name="_Toc393717266"/>
      <w:bookmarkStart w:id="357" w:name="_Toc439257967"/>
      <w:bookmarkStart w:id="358" w:name="_Toc426048390"/>
      <w:bookmarkStart w:id="359" w:name="_Toc13991"/>
      <w:r>
        <w:rPr>
          <w:rFonts w:hint="eastAsia" w:ascii="Times New Roman" w:hAnsi="Times New Roman" w:eastAsia="宋体"/>
          <w:sz w:val="30"/>
          <w:szCs w:val="30"/>
        </w:rPr>
        <w:t>9</w:t>
      </w:r>
      <w:r>
        <w:rPr>
          <w:rFonts w:ascii="Times New Roman" w:hAnsi="Times New Roman" w:eastAsia="宋体"/>
          <w:sz w:val="30"/>
          <w:szCs w:val="30"/>
        </w:rPr>
        <w:t>.</w:t>
      </w:r>
      <w:r>
        <w:rPr>
          <w:rFonts w:hint="eastAsia" w:ascii="Times New Roman" w:hAnsi="Times New Roman" w:eastAsia="宋体"/>
          <w:sz w:val="30"/>
          <w:szCs w:val="30"/>
        </w:rPr>
        <w:t>9环境经济损益分析</w:t>
      </w:r>
      <w:bookmarkEnd w:id="354"/>
      <w:bookmarkEnd w:id="355"/>
      <w:bookmarkEnd w:id="356"/>
      <w:bookmarkEnd w:id="357"/>
      <w:bookmarkEnd w:id="358"/>
      <w:bookmarkEnd w:id="359"/>
    </w:p>
    <w:p>
      <w:pPr>
        <w:pStyle w:val="2"/>
        <w:spacing w:line="360" w:lineRule="auto"/>
        <w:ind w:left="0" w:leftChars="0" w:firstLine="480" w:firstLineChars="200"/>
        <w:rPr>
          <w:rFonts w:hint="eastAsia"/>
          <w:b w:val="0"/>
          <w:bCs w:val="0"/>
          <w:sz w:val="24"/>
          <w:szCs w:val="24"/>
          <w:lang w:val="en-US" w:eastAsia="zh-CN"/>
        </w:rPr>
      </w:pPr>
      <w:r>
        <w:rPr>
          <w:sz w:val="24"/>
        </w:rPr>
        <w:t>本项目的实施不仅将改善</w:t>
      </w:r>
      <w:r>
        <w:rPr>
          <w:rFonts w:hint="eastAsia"/>
          <w:sz w:val="24"/>
          <w:lang w:val="en-US" w:eastAsia="zh-CN"/>
        </w:rPr>
        <w:t>阿尔山市</w:t>
      </w:r>
      <w:r>
        <w:rPr>
          <w:sz w:val="24"/>
        </w:rPr>
        <w:t>医疗卫生环境，提高当地居民的生活质量，而且将极大减轻</w:t>
      </w:r>
      <w:r>
        <w:rPr>
          <w:rFonts w:hint="eastAsia"/>
          <w:sz w:val="24"/>
          <w:lang w:val="en-US" w:eastAsia="zh-CN"/>
        </w:rPr>
        <w:t>阿尔山市</w:t>
      </w:r>
      <w:r>
        <w:rPr>
          <w:sz w:val="24"/>
        </w:rPr>
        <w:t>各医疗卫生机构的环境卫生压力，同时，本项目的经济效益更多的表现为减少疾病发生率的间接经济效益。因此，在采取一系列环保措施后，项目对环境的影响在可接受的范围内，从环境经济损益角度分析，项目是可行的。</w:t>
      </w:r>
    </w:p>
    <w:p>
      <w:pPr>
        <w:pStyle w:val="5"/>
        <w:spacing w:before="0" w:after="0" w:line="360" w:lineRule="auto"/>
        <w:rPr>
          <w:rFonts w:ascii="Times New Roman" w:hAnsi="Times New Roman" w:eastAsia="宋体"/>
          <w:sz w:val="30"/>
          <w:szCs w:val="30"/>
        </w:rPr>
      </w:pPr>
      <w:bookmarkStart w:id="360" w:name="_Toc32366"/>
      <w:bookmarkStart w:id="361" w:name="_Toc13462"/>
      <w:r>
        <w:rPr>
          <w:rFonts w:hint="eastAsia" w:ascii="Times New Roman" w:hAnsi="Times New Roman" w:eastAsia="宋体"/>
          <w:sz w:val="30"/>
          <w:szCs w:val="30"/>
        </w:rPr>
        <w:t>9.10总量控制</w:t>
      </w:r>
      <w:bookmarkEnd w:id="360"/>
      <w:bookmarkEnd w:id="361"/>
    </w:p>
    <w:p>
      <w:pPr>
        <w:pStyle w:val="2"/>
        <w:spacing w:line="360" w:lineRule="auto"/>
        <w:rPr>
          <w:rFonts w:hint="default" w:ascii="Times New Roman" w:hAnsi="Times New Roman" w:cs="Times New Roman"/>
          <w:color w:val="auto"/>
          <w:kern w:val="0"/>
          <w:sz w:val="24"/>
        </w:rPr>
      </w:pPr>
      <w:r>
        <w:rPr>
          <w:rFonts w:hint="eastAsia" w:ascii="宋体" w:hAnsi="宋体"/>
          <w:bCs/>
          <w:sz w:val="24"/>
        </w:rPr>
        <w:t>根据国家实施</w:t>
      </w:r>
      <w:r>
        <w:rPr>
          <w:rFonts w:hint="eastAsia" w:ascii="宋体" w:hAnsi="宋体"/>
          <w:bCs/>
          <w:color w:val="000000"/>
          <w:sz w:val="24"/>
        </w:rPr>
        <w:t>总量</w:t>
      </w:r>
      <w:r>
        <w:rPr>
          <w:color w:val="000000"/>
          <w:kern w:val="0"/>
          <w:sz w:val="24"/>
        </w:rPr>
        <w:t>控制的有关规定要求，考虑本工程排污特征，确定本工程污染物排放总量控</w:t>
      </w:r>
      <w:r>
        <w:rPr>
          <w:color w:val="auto"/>
          <w:kern w:val="0"/>
          <w:sz w:val="24"/>
        </w:rPr>
        <w:t>制因子为：</w:t>
      </w:r>
      <w:r>
        <w:rPr>
          <w:rFonts w:hint="default" w:ascii="Times New Roman" w:hAnsi="Times New Roman" w:cs="Times New Roman"/>
          <w:color w:val="auto"/>
          <w:kern w:val="0"/>
          <w:sz w:val="24"/>
        </w:rPr>
        <w:t>VOC</w:t>
      </w:r>
      <w:r>
        <w:rPr>
          <w:rFonts w:hint="default" w:ascii="Times New Roman" w:hAnsi="Times New Roman" w:cs="Times New Roman"/>
          <w:color w:val="auto"/>
          <w:kern w:val="0"/>
          <w:sz w:val="24"/>
          <w:vertAlign w:val="subscript"/>
        </w:rPr>
        <w:t>S</w:t>
      </w:r>
      <w:r>
        <w:rPr>
          <w:rFonts w:hint="default" w:ascii="Times New Roman" w:hAnsi="Times New Roman" w:cs="Times New Roman"/>
          <w:color w:val="auto"/>
          <w:kern w:val="0"/>
          <w:sz w:val="24"/>
          <w:vertAlign w:val="baseline"/>
          <w:lang w:eastAsia="zh-CN"/>
        </w:rPr>
        <w:t>、</w:t>
      </w:r>
      <w:r>
        <w:rPr>
          <w:rFonts w:hint="default" w:ascii="Times New Roman" w:hAnsi="Times New Roman" w:cs="Times New Roman"/>
          <w:color w:val="auto"/>
          <w:kern w:val="0"/>
          <w:sz w:val="24"/>
          <w:vertAlign w:val="baseline"/>
          <w:lang w:val="en-US" w:eastAsia="zh-CN"/>
        </w:rPr>
        <w:t>氨氮、COD</w:t>
      </w:r>
      <w:r>
        <w:rPr>
          <w:rFonts w:hint="default" w:ascii="Times New Roman" w:hAnsi="Times New Roman" w:cs="Times New Roman"/>
          <w:color w:val="auto"/>
          <w:kern w:val="0"/>
          <w:sz w:val="24"/>
        </w:rPr>
        <w:t>。</w:t>
      </w:r>
    </w:p>
    <w:p>
      <w:pPr>
        <w:pStyle w:val="2"/>
        <w:spacing w:line="360" w:lineRule="auto"/>
        <w:ind w:left="0" w:leftChars="0" w:firstLine="480" w:firstLineChars="200"/>
        <w:rPr>
          <w:rFonts w:hint="eastAsia" w:eastAsiaTheme="minorEastAsia"/>
          <w:b w:val="0"/>
          <w:bCs w:val="0"/>
          <w:sz w:val="24"/>
          <w:szCs w:val="24"/>
          <w:lang w:val="en-US" w:eastAsia="zh-CN"/>
        </w:rPr>
      </w:pPr>
      <w:r>
        <w:rPr>
          <w:rFonts w:hint="default" w:ascii="Times New Roman" w:hAnsi="Times New Roman" w:cs="Times New Roman"/>
          <w:color w:val="auto"/>
          <w:kern w:val="0"/>
          <w:sz w:val="24"/>
          <w:highlight w:val="none"/>
        </w:rPr>
        <w:t>本项目非甲烷总烃有组织排放量0.0</w:t>
      </w:r>
      <w:r>
        <w:rPr>
          <w:rFonts w:hint="eastAsia" w:ascii="Times New Roman" w:hAnsi="Times New Roman" w:cs="Times New Roman"/>
          <w:color w:val="auto"/>
          <w:kern w:val="0"/>
          <w:sz w:val="24"/>
          <w:highlight w:val="none"/>
          <w:lang w:val="en-US" w:eastAsia="zh-CN"/>
        </w:rPr>
        <w:t>061</w:t>
      </w:r>
      <w:r>
        <w:rPr>
          <w:rFonts w:hint="default" w:ascii="Times New Roman" w:hAnsi="Times New Roman" w:cs="Times New Roman"/>
          <w:color w:val="auto"/>
          <w:kern w:val="0"/>
          <w:sz w:val="24"/>
          <w:highlight w:val="none"/>
        </w:rPr>
        <w:t>t/a，无组织排放量0.0</w:t>
      </w:r>
      <w:r>
        <w:rPr>
          <w:rFonts w:hint="eastAsia" w:ascii="Times New Roman" w:hAnsi="Times New Roman" w:cs="Times New Roman"/>
          <w:color w:val="auto"/>
          <w:kern w:val="0"/>
          <w:sz w:val="24"/>
          <w:highlight w:val="none"/>
          <w:lang w:val="en-US" w:eastAsia="zh-CN"/>
        </w:rPr>
        <w:t>03</w:t>
      </w:r>
      <w:r>
        <w:rPr>
          <w:rFonts w:hint="default" w:ascii="Times New Roman" w:hAnsi="Times New Roman" w:cs="Times New Roman"/>
          <w:color w:val="auto"/>
          <w:kern w:val="0"/>
          <w:sz w:val="24"/>
          <w:highlight w:val="none"/>
        </w:rPr>
        <w:t>t/a，VOC</w:t>
      </w:r>
      <w:r>
        <w:rPr>
          <w:rFonts w:hint="default" w:ascii="Times New Roman" w:hAnsi="Times New Roman" w:cs="Times New Roman"/>
          <w:color w:val="auto"/>
          <w:kern w:val="0"/>
          <w:sz w:val="24"/>
          <w:highlight w:val="none"/>
          <w:vertAlign w:val="subscript"/>
        </w:rPr>
        <w:t>S</w:t>
      </w:r>
      <w:r>
        <w:rPr>
          <w:rFonts w:hint="default" w:ascii="Times New Roman" w:hAnsi="Times New Roman" w:cs="Times New Roman"/>
          <w:color w:val="auto"/>
          <w:kern w:val="0"/>
          <w:sz w:val="24"/>
          <w:highlight w:val="none"/>
        </w:rPr>
        <w:t>以非甲烷总烃计</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排放总量为0.0091t/a</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C</w:t>
      </w:r>
      <w:r>
        <w:rPr>
          <w:rFonts w:hint="default" w:ascii="Times New Roman" w:hAnsi="Times New Roman" w:cs="Times New Roman"/>
          <w:color w:val="auto"/>
          <w:kern w:val="0"/>
          <w:sz w:val="24"/>
          <w:lang w:val="en-US" w:eastAsia="zh-CN"/>
        </w:rPr>
        <w:t>OD排放量为0.1t/a；氨氮排放量为0.0021t/a。</w:t>
      </w:r>
    </w:p>
    <w:p>
      <w:pPr>
        <w:autoSpaceDE w:val="0"/>
        <w:autoSpaceDN w:val="0"/>
        <w:adjustRightInd w:val="0"/>
        <w:spacing w:line="360" w:lineRule="auto"/>
        <w:outlineLvl w:val="1"/>
        <w:rPr>
          <w:rFonts w:hint="default" w:ascii="Times New Roman" w:hAnsi="Times New Roman" w:cs="Times New Roman"/>
          <w:b/>
          <w:bCs/>
          <w:color w:val="auto"/>
          <w:sz w:val="30"/>
          <w:szCs w:val="30"/>
        </w:rPr>
      </w:pPr>
      <w:bookmarkStart w:id="362" w:name="_Toc4020"/>
      <w:r>
        <w:rPr>
          <w:rFonts w:hint="default" w:ascii="Times New Roman" w:hAnsi="Times New Roman" w:cs="Times New Roman"/>
          <w:b/>
          <w:bCs/>
          <w:color w:val="auto"/>
          <w:sz w:val="30"/>
          <w:szCs w:val="30"/>
        </w:rPr>
        <w:t>9.11公众参与</w:t>
      </w:r>
      <w:bookmarkEnd w:id="362"/>
    </w:p>
    <w:p>
      <w:pPr>
        <w:pStyle w:val="2"/>
        <w:spacing w:line="360" w:lineRule="auto"/>
        <w:ind w:left="0" w:leftChars="0" w:firstLine="480" w:firstLineChars="200"/>
        <w:rPr>
          <w:rFonts w:hint="eastAsia"/>
          <w:b w:val="0"/>
          <w:bCs w:val="0"/>
          <w:sz w:val="24"/>
          <w:szCs w:val="24"/>
          <w:lang w:val="en-US" w:eastAsia="zh-CN"/>
        </w:rPr>
      </w:pPr>
      <w:r>
        <w:rPr>
          <w:rFonts w:hint="eastAsia" w:ascii="宋体" w:hAnsi="宋体"/>
          <w:bCs/>
          <w:color w:val="auto"/>
          <w:sz w:val="24"/>
          <w:lang w:val="en-US" w:eastAsia="zh-CN"/>
        </w:rPr>
        <w:t>阿尔山市</w:t>
      </w:r>
      <w:r>
        <w:rPr>
          <w:rFonts w:hint="eastAsia" w:ascii="宋体" w:hAnsi="宋体"/>
          <w:bCs/>
          <w:color w:val="auto"/>
          <w:sz w:val="24"/>
        </w:rPr>
        <w:t>卫生健康委员会采用网站公示、报纸公示等形式征求公众意见。在公示期间未收到项目反馈意见。由此可知，周边群众对本工程的建设持肯定和支持态度，无反对意见</w:t>
      </w:r>
      <w:r>
        <w:rPr>
          <w:rFonts w:hint="eastAsia"/>
          <w:color w:val="auto"/>
          <w:sz w:val="24"/>
        </w:rPr>
        <w:t>。</w:t>
      </w:r>
    </w:p>
    <w:p>
      <w:pPr>
        <w:pStyle w:val="5"/>
        <w:spacing w:before="0" w:after="0" w:line="360" w:lineRule="auto"/>
        <w:rPr>
          <w:rFonts w:hint="eastAsia" w:ascii="Times New Roman" w:hAnsi="Times New Roman" w:eastAsia="宋体"/>
          <w:color w:val="auto"/>
          <w:sz w:val="30"/>
          <w:szCs w:val="30"/>
        </w:rPr>
      </w:pPr>
      <w:bookmarkStart w:id="363" w:name="_Toc426048393"/>
      <w:bookmarkStart w:id="364" w:name="_Toc22096"/>
      <w:bookmarkStart w:id="365" w:name="_Toc439257975"/>
      <w:bookmarkStart w:id="366" w:name="_Toc393717269"/>
      <w:bookmarkStart w:id="367" w:name="_Toc18827"/>
      <w:r>
        <w:rPr>
          <w:rFonts w:hint="eastAsia" w:ascii="Times New Roman" w:hAnsi="Times New Roman" w:eastAsia="宋体"/>
          <w:color w:val="auto"/>
          <w:sz w:val="30"/>
          <w:szCs w:val="30"/>
        </w:rPr>
        <w:t>9.12综合评价结论</w:t>
      </w:r>
      <w:bookmarkEnd w:id="363"/>
      <w:bookmarkEnd w:id="364"/>
      <w:bookmarkEnd w:id="365"/>
      <w:bookmarkEnd w:id="366"/>
      <w:bookmarkEnd w:id="367"/>
    </w:p>
    <w:p>
      <w:pPr>
        <w:pStyle w:val="2"/>
        <w:spacing w:line="360" w:lineRule="auto"/>
        <w:rPr>
          <w:rFonts w:hint="eastAsia" w:ascii="宋体" w:hAnsi="宋体"/>
          <w:bCs/>
          <w:sz w:val="24"/>
          <w:lang w:eastAsia="zh-CN"/>
        </w:rPr>
      </w:pPr>
      <w:r>
        <w:rPr>
          <w:rFonts w:ascii="宋体" w:hAnsi="宋体"/>
          <w:bCs/>
          <w:sz w:val="24"/>
        </w:rPr>
        <w:t>本项目建设符合国家相关产业政策</w:t>
      </w:r>
      <w:r>
        <w:rPr>
          <w:rFonts w:hint="eastAsia" w:ascii="宋体" w:hAnsi="宋体"/>
          <w:bCs/>
          <w:sz w:val="24"/>
        </w:rPr>
        <w:t>，选址合理</w:t>
      </w:r>
      <w:r>
        <w:rPr>
          <w:rFonts w:ascii="宋体" w:hAnsi="宋体"/>
          <w:bCs/>
          <w:sz w:val="24"/>
        </w:rPr>
        <w:t>；</w:t>
      </w:r>
      <w:r>
        <w:rPr>
          <w:rFonts w:hint="eastAsia" w:ascii="宋体" w:hAnsi="宋体"/>
          <w:bCs/>
          <w:sz w:val="24"/>
        </w:rPr>
        <w:t>在采取报告提出的环境保护措施后，</w:t>
      </w:r>
      <w:r>
        <w:rPr>
          <w:rFonts w:ascii="宋体" w:hAnsi="宋体"/>
          <w:bCs/>
          <w:sz w:val="24"/>
        </w:rPr>
        <w:t>污染物可做到达标排放</w:t>
      </w:r>
      <w:r>
        <w:rPr>
          <w:rFonts w:hint="eastAsia" w:ascii="宋体" w:hAnsi="宋体"/>
          <w:bCs/>
          <w:sz w:val="24"/>
        </w:rPr>
        <w:t>；公众参与显示无反对意见；在</w:t>
      </w:r>
      <w:r>
        <w:rPr>
          <w:rFonts w:ascii="宋体" w:hAnsi="宋体"/>
          <w:bCs/>
          <w:sz w:val="24"/>
        </w:rPr>
        <w:t>严格执行相关规范、严格管理，认真落实</w:t>
      </w:r>
      <w:r>
        <w:rPr>
          <w:rFonts w:hint="eastAsia" w:ascii="宋体" w:hAnsi="宋体"/>
          <w:bCs/>
          <w:sz w:val="24"/>
        </w:rPr>
        <w:t>“</w:t>
      </w:r>
      <w:r>
        <w:rPr>
          <w:rFonts w:ascii="宋体" w:hAnsi="宋体"/>
          <w:bCs/>
          <w:sz w:val="24"/>
        </w:rPr>
        <w:t>三同时</w:t>
      </w:r>
      <w:r>
        <w:rPr>
          <w:rFonts w:hint="eastAsia" w:ascii="宋体" w:hAnsi="宋体"/>
          <w:bCs/>
          <w:sz w:val="24"/>
        </w:rPr>
        <w:t>”</w:t>
      </w:r>
      <w:r>
        <w:rPr>
          <w:rFonts w:ascii="宋体" w:hAnsi="宋体"/>
          <w:bCs/>
          <w:sz w:val="24"/>
        </w:rPr>
        <w:t>的情况下，本项目所产生的不利环境影响将可以被减缓到</w:t>
      </w:r>
      <w:r>
        <w:rPr>
          <w:rFonts w:hint="eastAsia" w:ascii="宋体" w:hAnsi="宋体"/>
          <w:bCs/>
          <w:sz w:val="24"/>
        </w:rPr>
        <w:t>环境</w:t>
      </w:r>
      <w:r>
        <w:rPr>
          <w:rFonts w:ascii="宋体" w:hAnsi="宋体"/>
          <w:bCs/>
          <w:sz w:val="24"/>
        </w:rPr>
        <w:t>可接受的范围内。从环境保护角度分析，本项目建设可行</w:t>
      </w:r>
      <w:r>
        <w:rPr>
          <w:rFonts w:hint="eastAsia" w:ascii="宋体" w:hAnsi="宋体"/>
          <w:bCs/>
          <w:sz w:val="24"/>
          <w:lang w:eastAsia="zh-CN"/>
        </w:rPr>
        <w:t>。</w:t>
      </w:r>
    </w:p>
    <w:p>
      <w:pPr>
        <w:pStyle w:val="3"/>
        <w:outlineLvl w:val="9"/>
        <w:rPr>
          <w:rFonts w:hint="eastAsia" w:ascii="宋体" w:hAnsi="宋体"/>
          <w:bCs/>
          <w:sz w:val="24"/>
          <w:lang w:eastAsia="zh-CN"/>
        </w:rPr>
      </w:pPr>
    </w:p>
    <w:p>
      <w:p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rFonts w:hint="eastAsia"/>
          <w:lang w:val="en-US" w:eastAsia="zh-CN"/>
        </w:rPr>
      </w:pPr>
      <w:r>
        <w:rPr>
          <w:rFonts w:hint="eastAsia"/>
          <w:lang w:val="en-US" w:eastAsia="zh-CN"/>
        </w:rPr>
        <w:t>附件</w:t>
      </w:r>
    </w:p>
    <w:p>
      <w:pPr>
        <w:pStyle w:val="2"/>
        <w:ind w:left="0" w:leftChars="0" w:firstLine="0" w:firstLineChars="0"/>
        <w:rPr>
          <w:rFonts w:hint="default"/>
          <w:lang w:val="en-US" w:eastAsia="zh-CN"/>
        </w:rPr>
      </w:pPr>
      <w:r>
        <w:rPr>
          <w:rFonts w:hint="eastAsia"/>
          <w:lang w:val="en-US" w:eastAsia="zh-CN"/>
        </w:rPr>
        <w:t>*******</w:t>
      </w:r>
      <w:bookmarkStart w:id="368" w:name="_GoBack"/>
      <w:bookmarkEnd w:id="368"/>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昆仑仿宋">
    <w:altName w:val="黑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TimesNewRomanPS-BoldMT">
    <w:altName w:val="Segoe Print"/>
    <w:panose1 w:val="00000000000000000000"/>
    <w:charset w:val="00"/>
    <w:family w:val="auto"/>
    <w:pitch w:val="default"/>
    <w:sig w:usb0="00000000" w:usb1="00000000" w:usb2="00000000" w:usb3="00000000" w:csb0="00040001" w:csb1="00000000"/>
  </w:font>
  <w:font w:name="ËÎÌå">
    <w:altName w:val="Times New Roman"/>
    <w:panose1 w:val="00000000000000000000"/>
    <w:charset w:val="00"/>
    <w:family w:val="auto"/>
    <w:pitch w:val="default"/>
    <w:sig w:usb0="00000000" w:usb1="00000000" w:usb2="00000000" w:usb3="00000000" w:csb0="00000001" w:csb1="00000000"/>
  </w:font>
  <w:font w:name="Arial Rounded MT Bold">
    <w:panose1 w:val="020F0704030504030204"/>
    <w:charset w:val="00"/>
    <w:family w:val="auto"/>
    <w:pitch w:val="default"/>
    <w:sig w:usb0="00000003" w:usb1="00000000" w:usb2="00000000" w:usb3="00000000" w:csb0="2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yK0v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i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cyK0veAgAAKAYAAA4AAAAAAAAAAQAgAAAAHwEAAGRycy9lMm9Eb2MueG1sUEsF&#10;BgAAAAAGAAYAWQEAAG8G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68" w:lineRule="auto"/>
      <w:ind w:left="4141"/>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cB3e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iLcB3eAgAAKAYAAA4AAAAAAAAAAQAgAAAAHwEAAGRycy9lMm9Eb2MueG1sUEsF&#10;BgAAAAAGAAYAWQEAAG8G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center"/>
      <w:rPr>
        <w:rFonts w:hint="default" w:eastAsia="宋体"/>
        <w:lang w:val="en-US" w:eastAsia="zh-CN"/>
      </w:rPr>
    </w:pPr>
    <w:r>
      <w:rPr>
        <w:rFonts w:hint="eastAsia"/>
        <w:lang w:val="en-US" w:eastAsia="zh-CN"/>
      </w:rPr>
      <w:t>阿尔山市医疗废物处置中心建设项目环境影响评价报告书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215" w:lineRule="auto"/>
      <w:ind w:right="25"/>
      <w:jc w:val="center"/>
      <w:rPr>
        <w:sz w:val="18"/>
        <w:szCs w:val="18"/>
      </w:rPr>
    </w:pPr>
    <w:r>
      <mc:AlternateContent>
        <mc:Choice Requires="wps">
          <w:drawing>
            <wp:anchor distT="0" distB="0" distL="114300" distR="114300" simplePos="0" relativeHeight="251659264" behindDoc="0" locked="0" layoutInCell="0" allowOverlap="1">
              <wp:simplePos x="0" y="0"/>
              <wp:positionH relativeFrom="page">
                <wp:posOffset>1124585</wp:posOffset>
              </wp:positionH>
              <wp:positionV relativeFrom="page">
                <wp:posOffset>845820</wp:posOffset>
              </wp:positionV>
              <wp:extent cx="5312410" cy="6350"/>
              <wp:effectExtent l="0" t="0" r="0" b="0"/>
              <wp:wrapNone/>
              <wp:docPr id="1" name="任意多边形 1"/>
              <wp:cNvGraphicFramePr/>
              <a:graphic xmlns:a="http://schemas.openxmlformats.org/drawingml/2006/main">
                <a:graphicData uri="http://schemas.microsoft.com/office/word/2010/wordprocessingShape">
                  <wps:wsp>
                    <wps:cNvSpPr/>
                    <wps:spPr>
                      <a:xfrm>
                        <a:off x="0" y="0"/>
                        <a:ext cx="5312410" cy="6350"/>
                      </a:xfrm>
                      <a:custGeom>
                        <a:avLst/>
                        <a:gdLst/>
                        <a:ahLst/>
                        <a:cxnLst/>
                        <a:pathLst>
                          <a:path w="8365" h="10">
                            <a:moveTo>
                              <a:pt x="0" y="9"/>
                            </a:moveTo>
                            <a:lnTo>
                              <a:pt x="8365" y="9"/>
                            </a:lnTo>
                            <a:lnTo>
                              <a:pt x="8365"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55pt;margin-top:66.6pt;height:0.5pt;width:418.3pt;mso-position-horizontal-relative:page;mso-position-vertical-relative:page;z-index:251659264;mso-width-relative:page;mso-height-relative:page;" fillcolor="#000000" filled="t" stroked="f" coordsize="8365,10" o:allowincell="f" o:gfxdata="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RNIh2QAAAAwBAAAPAAAA&#10;AAAAAAEAIAAAACIAAABkcnMvZG93bnJldi54bWxQSwECFAAUAAAACACHTuJABQ5jIRQCAAB5BAAA&#10;DgAAAAAAAAABACAAAAAoAQAAZHJzL2Uyb0RvYy54bWxQSwUGAAAAAAYABgBZAQAArgUAAAAA&#10;" path="m0,9l8365,9,8365,0,0,0,0,9xe">
              <v:fill on="t" focussize="0,0"/>
              <v:stroke on="f"/>
              <v:imagedata o:title=""/>
              <o:lock v:ext="edit" aspectratio="f"/>
            </v:shape>
          </w:pict>
        </mc:Fallback>
      </mc:AlternateContent>
    </w:r>
    <w:r>
      <w:rPr>
        <w:spacing w:val="1"/>
        <w:sz w:val="18"/>
        <w:szCs w:val="18"/>
      </w:rPr>
      <w:t>阿尔山市医疗废物处置中心建设项目</w:t>
    </w:r>
    <w:r>
      <w:rPr>
        <w:rFonts w:hint="eastAsia"/>
        <w:spacing w:val="1"/>
        <w:sz w:val="18"/>
        <w:szCs w:val="18"/>
        <w:lang w:val="en-US" w:eastAsia="zh-CN"/>
      </w:rPr>
      <w:t>环境影响评价报告书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42BB64"/>
    <w:multiLevelType w:val="singleLevel"/>
    <w:tmpl w:val="A042BB64"/>
    <w:lvl w:ilvl="0" w:tentative="0">
      <w:start w:val="3"/>
      <w:numFmt w:val="decimal"/>
      <w:suff w:val="nothing"/>
      <w:lvlText w:val="%1、"/>
      <w:lvlJc w:val="left"/>
    </w:lvl>
  </w:abstractNum>
  <w:abstractNum w:abstractNumId="1">
    <w:nsid w:val="F4C966A8"/>
    <w:multiLevelType w:val="multilevel"/>
    <w:tmpl w:val="F4C966A8"/>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3389576C"/>
    <w:multiLevelType w:val="singleLevel"/>
    <w:tmpl w:val="3389576C"/>
    <w:lvl w:ilvl="0" w:tentative="0">
      <w:start w:val="1"/>
      <w:numFmt w:val="decimal"/>
      <w:suff w:val="space"/>
      <w:lvlText w:val="第%1章"/>
      <w:lvlJc w:val="left"/>
      <w:rPr>
        <w:rFonts w:hint="default" w:ascii="Times New Roman" w:hAnsi="Times New Roman"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hN2M5ZTUxZGI4MThhODFiZTg5MjM0OTYyNjE2M2YifQ=="/>
  </w:docVars>
  <w:rsids>
    <w:rsidRoot w:val="24C244B8"/>
    <w:rsid w:val="0002561E"/>
    <w:rsid w:val="001D5FB4"/>
    <w:rsid w:val="003C25AF"/>
    <w:rsid w:val="00537C28"/>
    <w:rsid w:val="00602323"/>
    <w:rsid w:val="006F3EE0"/>
    <w:rsid w:val="00867AE7"/>
    <w:rsid w:val="00AB02E6"/>
    <w:rsid w:val="00AE7BC8"/>
    <w:rsid w:val="00D2753D"/>
    <w:rsid w:val="00E327DE"/>
    <w:rsid w:val="00F538F5"/>
    <w:rsid w:val="01171993"/>
    <w:rsid w:val="0118675A"/>
    <w:rsid w:val="012B64AF"/>
    <w:rsid w:val="014E7580"/>
    <w:rsid w:val="01505F15"/>
    <w:rsid w:val="016F430C"/>
    <w:rsid w:val="017165B7"/>
    <w:rsid w:val="018C1643"/>
    <w:rsid w:val="01946C70"/>
    <w:rsid w:val="01CE0BC4"/>
    <w:rsid w:val="01D6686A"/>
    <w:rsid w:val="01D8482B"/>
    <w:rsid w:val="01DE6AB1"/>
    <w:rsid w:val="01EA5B99"/>
    <w:rsid w:val="020F5C09"/>
    <w:rsid w:val="0213405C"/>
    <w:rsid w:val="022379B4"/>
    <w:rsid w:val="024806E1"/>
    <w:rsid w:val="0252337E"/>
    <w:rsid w:val="02570700"/>
    <w:rsid w:val="025864C2"/>
    <w:rsid w:val="02661E94"/>
    <w:rsid w:val="02727A2D"/>
    <w:rsid w:val="028F0B05"/>
    <w:rsid w:val="02E855CB"/>
    <w:rsid w:val="02EE59E6"/>
    <w:rsid w:val="02F70D3E"/>
    <w:rsid w:val="02FF7BF3"/>
    <w:rsid w:val="030660AA"/>
    <w:rsid w:val="034D4E02"/>
    <w:rsid w:val="034F46D6"/>
    <w:rsid w:val="03604B36"/>
    <w:rsid w:val="03CD6F2D"/>
    <w:rsid w:val="040222E6"/>
    <w:rsid w:val="04113C5E"/>
    <w:rsid w:val="04363AE8"/>
    <w:rsid w:val="046E5DDD"/>
    <w:rsid w:val="04785EAF"/>
    <w:rsid w:val="04912689"/>
    <w:rsid w:val="04A15406"/>
    <w:rsid w:val="04B33BEE"/>
    <w:rsid w:val="04D731F4"/>
    <w:rsid w:val="04E2157A"/>
    <w:rsid w:val="04F437AB"/>
    <w:rsid w:val="0501357C"/>
    <w:rsid w:val="05025778"/>
    <w:rsid w:val="05085485"/>
    <w:rsid w:val="051756C8"/>
    <w:rsid w:val="05325B6D"/>
    <w:rsid w:val="05483AD3"/>
    <w:rsid w:val="056D29D1"/>
    <w:rsid w:val="05980631"/>
    <w:rsid w:val="059B00A7"/>
    <w:rsid w:val="05A66D60"/>
    <w:rsid w:val="05B571CF"/>
    <w:rsid w:val="05D2339D"/>
    <w:rsid w:val="05ED6429"/>
    <w:rsid w:val="061E6958"/>
    <w:rsid w:val="063C704B"/>
    <w:rsid w:val="067508F8"/>
    <w:rsid w:val="06876DA5"/>
    <w:rsid w:val="069B5E85"/>
    <w:rsid w:val="069F3BC7"/>
    <w:rsid w:val="06B156A8"/>
    <w:rsid w:val="06B70A88"/>
    <w:rsid w:val="06C02139"/>
    <w:rsid w:val="06C6516F"/>
    <w:rsid w:val="06CA277E"/>
    <w:rsid w:val="06D01FD2"/>
    <w:rsid w:val="06F37F9B"/>
    <w:rsid w:val="06F4288E"/>
    <w:rsid w:val="06FE67EB"/>
    <w:rsid w:val="070E7398"/>
    <w:rsid w:val="072940D8"/>
    <w:rsid w:val="07570EDB"/>
    <w:rsid w:val="07686AD7"/>
    <w:rsid w:val="076F17EB"/>
    <w:rsid w:val="07752B3A"/>
    <w:rsid w:val="07761BD8"/>
    <w:rsid w:val="079B0C19"/>
    <w:rsid w:val="079F0AA0"/>
    <w:rsid w:val="07A034AB"/>
    <w:rsid w:val="07A1396F"/>
    <w:rsid w:val="07AB1E2E"/>
    <w:rsid w:val="07FD6F68"/>
    <w:rsid w:val="08252E8C"/>
    <w:rsid w:val="084B7C21"/>
    <w:rsid w:val="08A246F4"/>
    <w:rsid w:val="08A47272"/>
    <w:rsid w:val="08A5267F"/>
    <w:rsid w:val="08AC6D67"/>
    <w:rsid w:val="08C47176"/>
    <w:rsid w:val="08F40C88"/>
    <w:rsid w:val="09010228"/>
    <w:rsid w:val="09063A89"/>
    <w:rsid w:val="09070FDA"/>
    <w:rsid w:val="090E293D"/>
    <w:rsid w:val="09116FD2"/>
    <w:rsid w:val="092A27BC"/>
    <w:rsid w:val="092B18C8"/>
    <w:rsid w:val="094840A2"/>
    <w:rsid w:val="094A0C64"/>
    <w:rsid w:val="09727371"/>
    <w:rsid w:val="09872A66"/>
    <w:rsid w:val="09896468"/>
    <w:rsid w:val="098B21E0"/>
    <w:rsid w:val="0995305F"/>
    <w:rsid w:val="099D5F31"/>
    <w:rsid w:val="09C13E54"/>
    <w:rsid w:val="09C82D35"/>
    <w:rsid w:val="09D57E85"/>
    <w:rsid w:val="09DA1E6E"/>
    <w:rsid w:val="09DA4609"/>
    <w:rsid w:val="09EE536F"/>
    <w:rsid w:val="0A0855DF"/>
    <w:rsid w:val="0A252635"/>
    <w:rsid w:val="0A314B36"/>
    <w:rsid w:val="0A3356C5"/>
    <w:rsid w:val="0A3E37D4"/>
    <w:rsid w:val="0A463FB5"/>
    <w:rsid w:val="0A6A44EC"/>
    <w:rsid w:val="0ACE208E"/>
    <w:rsid w:val="0ADE6E08"/>
    <w:rsid w:val="0AEE2450"/>
    <w:rsid w:val="0AF83663"/>
    <w:rsid w:val="0B1F0E32"/>
    <w:rsid w:val="0B2E7351"/>
    <w:rsid w:val="0B2F4F40"/>
    <w:rsid w:val="0B41272D"/>
    <w:rsid w:val="0B426986"/>
    <w:rsid w:val="0B591650"/>
    <w:rsid w:val="0B731768"/>
    <w:rsid w:val="0BA254A3"/>
    <w:rsid w:val="0BD01006"/>
    <w:rsid w:val="0BDA11FD"/>
    <w:rsid w:val="0BFA3B04"/>
    <w:rsid w:val="0C1069CD"/>
    <w:rsid w:val="0C3F432B"/>
    <w:rsid w:val="0C450D6C"/>
    <w:rsid w:val="0C560E46"/>
    <w:rsid w:val="0C5B44A8"/>
    <w:rsid w:val="0C7B478E"/>
    <w:rsid w:val="0C7E7DDA"/>
    <w:rsid w:val="0C843FFC"/>
    <w:rsid w:val="0C853374"/>
    <w:rsid w:val="0C8B158D"/>
    <w:rsid w:val="0CDC13A0"/>
    <w:rsid w:val="0D06213C"/>
    <w:rsid w:val="0D1644B7"/>
    <w:rsid w:val="0D366308"/>
    <w:rsid w:val="0D6F756B"/>
    <w:rsid w:val="0D8F488D"/>
    <w:rsid w:val="0D933D59"/>
    <w:rsid w:val="0D994322"/>
    <w:rsid w:val="0DBB2747"/>
    <w:rsid w:val="0DE47BD9"/>
    <w:rsid w:val="0DF815BF"/>
    <w:rsid w:val="0E0638BC"/>
    <w:rsid w:val="0E3302DF"/>
    <w:rsid w:val="0E4B63E2"/>
    <w:rsid w:val="0E683327"/>
    <w:rsid w:val="0E774A86"/>
    <w:rsid w:val="0EB21234"/>
    <w:rsid w:val="0ECA07E3"/>
    <w:rsid w:val="0EF12AE6"/>
    <w:rsid w:val="0EFC4D84"/>
    <w:rsid w:val="0F1C7DBB"/>
    <w:rsid w:val="0F204E25"/>
    <w:rsid w:val="0F403A6D"/>
    <w:rsid w:val="0F415754"/>
    <w:rsid w:val="0F423341"/>
    <w:rsid w:val="0F455F1A"/>
    <w:rsid w:val="0F632971"/>
    <w:rsid w:val="0F6A2898"/>
    <w:rsid w:val="0FB40AA9"/>
    <w:rsid w:val="0FEA0D7A"/>
    <w:rsid w:val="0FF22FB9"/>
    <w:rsid w:val="0FF93349"/>
    <w:rsid w:val="0FFD54BA"/>
    <w:rsid w:val="100F0B58"/>
    <w:rsid w:val="103435D2"/>
    <w:rsid w:val="103B628C"/>
    <w:rsid w:val="105A2DDD"/>
    <w:rsid w:val="106A0DA2"/>
    <w:rsid w:val="107E2A9F"/>
    <w:rsid w:val="10CF655F"/>
    <w:rsid w:val="10D5117F"/>
    <w:rsid w:val="10F20D97"/>
    <w:rsid w:val="110662D0"/>
    <w:rsid w:val="112D098E"/>
    <w:rsid w:val="11360EBF"/>
    <w:rsid w:val="115158F7"/>
    <w:rsid w:val="11B52F3C"/>
    <w:rsid w:val="120B0362"/>
    <w:rsid w:val="1229224D"/>
    <w:rsid w:val="12292935"/>
    <w:rsid w:val="123A47A4"/>
    <w:rsid w:val="127840D2"/>
    <w:rsid w:val="128524A3"/>
    <w:rsid w:val="129F5A37"/>
    <w:rsid w:val="12A64309"/>
    <w:rsid w:val="12AE10F3"/>
    <w:rsid w:val="12EB5810"/>
    <w:rsid w:val="12EC3B28"/>
    <w:rsid w:val="12F140C0"/>
    <w:rsid w:val="1338211D"/>
    <w:rsid w:val="13474641"/>
    <w:rsid w:val="134D13CA"/>
    <w:rsid w:val="136F66CF"/>
    <w:rsid w:val="139E0D62"/>
    <w:rsid w:val="13C86F5F"/>
    <w:rsid w:val="13EA360C"/>
    <w:rsid w:val="14101CFA"/>
    <w:rsid w:val="144F617D"/>
    <w:rsid w:val="146C06EB"/>
    <w:rsid w:val="146D1F6E"/>
    <w:rsid w:val="146E4C4C"/>
    <w:rsid w:val="147E12BF"/>
    <w:rsid w:val="148E4C8E"/>
    <w:rsid w:val="14A05457"/>
    <w:rsid w:val="14ED0E2A"/>
    <w:rsid w:val="151066E2"/>
    <w:rsid w:val="151D1FE6"/>
    <w:rsid w:val="15494AC2"/>
    <w:rsid w:val="154B0F45"/>
    <w:rsid w:val="15683718"/>
    <w:rsid w:val="156A35F2"/>
    <w:rsid w:val="15700B8E"/>
    <w:rsid w:val="15736473"/>
    <w:rsid w:val="158D3A3F"/>
    <w:rsid w:val="15915988"/>
    <w:rsid w:val="15920CE1"/>
    <w:rsid w:val="15A97A1F"/>
    <w:rsid w:val="15C03212"/>
    <w:rsid w:val="15C40BB9"/>
    <w:rsid w:val="15C90318"/>
    <w:rsid w:val="15E1607E"/>
    <w:rsid w:val="15FF5276"/>
    <w:rsid w:val="160A4E2E"/>
    <w:rsid w:val="160F6ACA"/>
    <w:rsid w:val="165C2EF4"/>
    <w:rsid w:val="165C6058"/>
    <w:rsid w:val="165E1E54"/>
    <w:rsid w:val="16D50F3F"/>
    <w:rsid w:val="16DC407B"/>
    <w:rsid w:val="16F811DF"/>
    <w:rsid w:val="17141991"/>
    <w:rsid w:val="172872C1"/>
    <w:rsid w:val="17410DED"/>
    <w:rsid w:val="1763654B"/>
    <w:rsid w:val="176D58E3"/>
    <w:rsid w:val="17912FAB"/>
    <w:rsid w:val="17DD454F"/>
    <w:rsid w:val="17EB3487"/>
    <w:rsid w:val="17F31791"/>
    <w:rsid w:val="182300F4"/>
    <w:rsid w:val="182E4DAB"/>
    <w:rsid w:val="1888270D"/>
    <w:rsid w:val="18887FCB"/>
    <w:rsid w:val="18B07A55"/>
    <w:rsid w:val="18C96881"/>
    <w:rsid w:val="18F751AC"/>
    <w:rsid w:val="19094ED0"/>
    <w:rsid w:val="19162EBE"/>
    <w:rsid w:val="191C30A3"/>
    <w:rsid w:val="191C7400"/>
    <w:rsid w:val="19434886"/>
    <w:rsid w:val="194F5996"/>
    <w:rsid w:val="195E346D"/>
    <w:rsid w:val="19762565"/>
    <w:rsid w:val="197B7B7C"/>
    <w:rsid w:val="199918DB"/>
    <w:rsid w:val="19E35721"/>
    <w:rsid w:val="1A1A585E"/>
    <w:rsid w:val="1A1D6E85"/>
    <w:rsid w:val="1A2E1092"/>
    <w:rsid w:val="1A4E39CB"/>
    <w:rsid w:val="1A4F24A0"/>
    <w:rsid w:val="1A5F749D"/>
    <w:rsid w:val="1A6B5E42"/>
    <w:rsid w:val="1A8A5BDF"/>
    <w:rsid w:val="1AA3032E"/>
    <w:rsid w:val="1AC1788B"/>
    <w:rsid w:val="1AD339E7"/>
    <w:rsid w:val="1ADF05DE"/>
    <w:rsid w:val="1AE479A2"/>
    <w:rsid w:val="1AE85279"/>
    <w:rsid w:val="1B045F93"/>
    <w:rsid w:val="1B261BF9"/>
    <w:rsid w:val="1B2B5E42"/>
    <w:rsid w:val="1B5D7D74"/>
    <w:rsid w:val="1BBE4697"/>
    <w:rsid w:val="1BC05D1A"/>
    <w:rsid w:val="1BCB55C2"/>
    <w:rsid w:val="1BDA542C"/>
    <w:rsid w:val="1BDD4B1E"/>
    <w:rsid w:val="1BE7311D"/>
    <w:rsid w:val="1BF65F84"/>
    <w:rsid w:val="1C597F1C"/>
    <w:rsid w:val="1C6D1F48"/>
    <w:rsid w:val="1C6E1C1A"/>
    <w:rsid w:val="1C907F72"/>
    <w:rsid w:val="1CB5609A"/>
    <w:rsid w:val="1CC04A68"/>
    <w:rsid w:val="1D046F43"/>
    <w:rsid w:val="1D17405F"/>
    <w:rsid w:val="1D404D2C"/>
    <w:rsid w:val="1D580A9D"/>
    <w:rsid w:val="1DB06D6D"/>
    <w:rsid w:val="1DCA625A"/>
    <w:rsid w:val="1DD83E12"/>
    <w:rsid w:val="1DEF0B38"/>
    <w:rsid w:val="1E890EA3"/>
    <w:rsid w:val="1E8F577D"/>
    <w:rsid w:val="1E8F7C25"/>
    <w:rsid w:val="1E982F7E"/>
    <w:rsid w:val="1E990DE2"/>
    <w:rsid w:val="1EAA72CA"/>
    <w:rsid w:val="1EB42030"/>
    <w:rsid w:val="1ED32208"/>
    <w:rsid w:val="1ED75A22"/>
    <w:rsid w:val="1EE35706"/>
    <w:rsid w:val="1EE95587"/>
    <w:rsid w:val="1EEC4489"/>
    <w:rsid w:val="1EF009BC"/>
    <w:rsid w:val="1F0B00AA"/>
    <w:rsid w:val="1F1840BF"/>
    <w:rsid w:val="1F220A99"/>
    <w:rsid w:val="1F3A1420"/>
    <w:rsid w:val="1F433819"/>
    <w:rsid w:val="1F4D6497"/>
    <w:rsid w:val="1FA63478"/>
    <w:rsid w:val="1FA72FB2"/>
    <w:rsid w:val="1FBE3216"/>
    <w:rsid w:val="1FC138EB"/>
    <w:rsid w:val="1FCB7383"/>
    <w:rsid w:val="1FDE70B6"/>
    <w:rsid w:val="202A7C37"/>
    <w:rsid w:val="202C71E2"/>
    <w:rsid w:val="203D583D"/>
    <w:rsid w:val="204F1D62"/>
    <w:rsid w:val="20583C26"/>
    <w:rsid w:val="205E2895"/>
    <w:rsid w:val="20601879"/>
    <w:rsid w:val="20812FC8"/>
    <w:rsid w:val="20910BB4"/>
    <w:rsid w:val="20B83463"/>
    <w:rsid w:val="21042E65"/>
    <w:rsid w:val="211012FF"/>
    <w:rsid w:val="2134650D"/>
    <w:rsid w:val="21433A33"/>
    <w:rsid w:val="21661D3B"/>
    <w:rsid w:val="216830DB"/>
    <w:rsid w:val="21763D46"/>
    <w:rsid w:val="218246FF"/>
    <w:rsid w:val="218872DA"/>
    <w:rsid w:val="219519F6"/>
    <w:rsid w:val="21A6088D"/>
    <w:rsid w:val="21CA2BF9"/>
    <w:rsid w:val="21DA565B"/>
    <w:rsid w:val="21E14C3C"/>
    <w:rsid w:val="21E4187D"/>
    <w:rsid w:val="21EF7359"/>
    <w:rsid w:val="220350C6"/>
    <w:rsid w:val="222E1771"/>
    <w:rsid w:val="222F19F1"/>
    <w:rsid w:val="223722D4"/>
    <w:rsid w:val="223B259E"/>
    <w:rsid w:val="225B679C"/>
    <w:rsid w:val="22625D7D"/>
    <w:rsid w:val="22965A26"/>
    <w:rsid w:val="22AA14D2"/>
    <w:rsid w:val="22AB3909"/>
    <w:rsid w:val="22DF73CD"/>
    <w:rsid w:val="22FF7A6F"/>
    <w:rsid w:val="230A01C2"/>
    <w:rsid w:val="230E6657"/>
    <w:rsid w:val="2312769F"/>
    <w:rsid w:val="23132546"/>
    <w:rsid w:val="231368E9"/>
    <w:rsid w:val="231A2C5E"/>
    <w:rsid w:val="231D6147"/>
    <w:rsid w:val="232D6E37"/>
    <w:rsid w:val="23446239"/>
    <w:rsid w:val="23475034"/>
    <w:rsid w:val="23483118"/>
    <w:rsid w:val="23912624"/>
    <w:rsid w:val="23A60388"/>
    <w:rsid w:val="23C245F9"/>
    <w:rsid w:val="23CC34AF"/>
    <w:rsid w:val="23D34A58"/>
    <w:rsid w:val="23E00F22"/>
    <w:rsid w:val="240B5FA0"/>
    <w:rsid w:val="245301AB"/>
    <w:rsid w:val="245848F6"/>
    <w:rsid w:val="247E4746"/>
    <w:rsid w:val="24967F5F"/>
    <w:rsid w:val="24B36210"/>
    <w:rsid w:val="24C244B8"/>
    <w:rsid w:val="25021151"/>
    <w:rsid w:val="25284930"/>
    <w:rsid w:val="255B7F81"/>
    <w:rsid w:val="256849C3"/>
    <w:rsid w:val="256B13EC"/>
    <w:rsid w:val="256F0A4F"/>
    <w:rsid w:val="25CA29E7"/>
    <w:rsid w:val="25DD396C"/>
    <w:rsid w:val="25E327D5"/>
    <w:rsid w:val="25E96AB3"/>
    <w:rsid w:val="26270419"/>
    <w:rsid w:val="2627095A"/>
    <w:rsid w:val="2628108B"/>
    <w:rsid w:val="262A4E03"/>
    <w:rsid w:val="262E04D9"/>
    <w:rsid w:val="26920126"/>
    <w:rsid w:val="26AC09D7"/>
    <w:rsid w:val="26B75F6B"/>
    <w:rsid w:val="26E157D9"/>
    <w:rsid w:val="27084A19"/>
    <w:rsid w:val="272825BB"/>
    <w:rsid w:val="2737475D"/>
    <w:rsid w:val="275A1D28"/>
    <w:rsid w:val="276E0D20"/>
    <w:rsid w:val="27797B83"/>
    <w:rsid w:val="277F5534"/>
    <w:rsid w:val="27C26A1C"/>
    <w:rsid w:val="27E2170E"/>
    <w:rsid w:val="27F3781D"/>
    <w:rsid w:val="27F754CA"/>
    <w:rsid w:val="28023C0A"/>
    <w:rsid w:val="282E04AF"/>
    <w:rsid w:val="283B6E16"/>
    <w:rsid w:val="284F4764"/>
    <w:rsid w:val="2859765A"/>
    <w:rsid w:val="286922D2"/>
    <w:rsid w:val="28825229"/>
    <w:rsid w:val="289E3886"/>
    <w:rsid w:val="28B52641"/>
    <w:rsid w:val="28D252DE"/>
    <w:rsid w:val="28E24C0D"/>
    <w:rsid w:val="28F434A6"/>
    <w:rsid w:val="29090141"/>
    <w:rsid w:val="295F3A20"/>
    <w:rsid w:val="29693E94"/>
    <w:rsid w:val="296A699C"/>
    <w:rsid w:val="29724526"/>
    <w:rsid w:val="297D2B61"/>
    <w:rsid w:val="298760C9"/>
    <w:rsid w:val="29AC1FD3"/>
    <w:rsid w:val="29AC4C15"/>
    <w:rsid w:val="29B314B5"/>
    <w:rsid w:val="29C857A2"/>
    <w:rsid w:val="29EA6657"/>
    <w:rsid w:val="29F3421F"/>
    <w:rsid w:val="29FC0E24"/>
    <w:rsid w:val="2A04617D"/>
    <w:rsid w:val="2A4340EF"/>
    <w:rsid w:val="2A513F3A"/>
    <w:rsid w:val="2A750617"/>
    <w:rsid w:val="2A822D95"/>
    <w:rsid w:val="2A8E6C26"/>
    <w:rsid w:val="2A9D36CA"/>
    <w:rsid w:val="2A9F38E6"/>
    <w:rsid w:val="2AC1385C"/>
    <w:rsid w:val="2AF2541E"/>
    <w:rsid w:val="2AF459E0"/>
    <w:rsid w:val="2AFA28D8"/>
    <w:rsid w:val="2B192685"/>
    <w:rsid w:val="2B397896"/>
    <w:rsid w:val="2B4017F0"/>
    <w:rsid w:val="2B4045F8"/>
    <w:rsid w:val="2B565423"/>
    <w:rsid w:val="2B60319A"/>
    <w:rsid w:val="2B726FF9"/>
    <w:rsid w:val="2B905D86"/>
    <w:rsid w:val="2BBA09D7"/>
    <w:rsid w:val="2BC4398B"/>
    <w:rsid w:val="2BC96E6C"/>
    <w:rsid w:val="2BE45A54"/>
    <w:rsid w:val="2C02237E"/>
    <w:rsid w:val="2C0608AB"/>
    <w:rsid w:val="2C11436F"/>
    <w:rsid w:val="2C1874AC"/>
    <w:rsid w:val="2C247FCD"/>
    <w:rsid w:val="2C2B3683"/>
    <w:rsid w:val="2C351E0C"/>
    <w:rsid w:val="2C7F39CF"/>
    <w:rsid w:val="2C8B5820"/>
    <w:rsid w:val="2C965CC3"/>
    <w:rsid w:val="2CC57265"/>
    <w:rsid w:val="2CE630EC"/>
    <w:rsid w:val="2D085772"/>
    <w:rsid w:val="2D0F08AF"/>
    <w:rsid w:val="2D3B6454"/>
    <w:rsid w:val="2D510F8C"/>
    <w:rsid w:val="2D5D6739"/>
    <w:rsid w:val="2D872B3B"/>
    <w:rsid w:val="2D9214E0"/>
    <w:rsid w:val="2DB0354B"/>
    <w:rsid w:val="2DB72CF5"/>
    <w:rsid w:val="2DB81EEB"/>
    <w:rsid w:val="2DC773DC"/>
    <w:rsid w:val="2DD3799A"/>
    <w:rsid w:val="2DE55AB4"/>
    <w:rsid w:val="2DE802AD"/>
    <w:rsid w:val="2DEC5954"/>
    <w:rsid w:val="2DF07D5C"/>
    <w:rsid w:val="2DF9330D"/>
    <w:rsid w:val="2E024DC8"/>
    <w:rsid w:val="2E0363D2"/>
    <w:rsid w:val="2E057679"/>
    <w:rsid w:val="2E057F04"/>
    <w:rsid w:val="2E3D6D05"/>
    <w:rsid w:val="2E530C6F"/>
    <w:rsid w:val="2E693FEF"/>
    <w:rsid w:val="2E725F9B"/>
    <w:rsid w:val="2E8D1EB2"/>
    <w:rsid w:val="2E9011C6"/>
    <w:rsid w:val="2EAE791E"/>
    <w:rsid w:val="2EBA6F40"/>
    <w:rsid w:val="2EC91E4A"/>
    <w:rsid w:val="2ED40002"/>
    <w:rsid w:val="2EDC2D18"/>
    <w:rsid w:val="2EE63891"/>
    <w:rsid w:val="2EF064BE"/>
    <w:rsid w:val="2F11017D"/>
    <w:rsid w:val="2F132D02"/>
    <w:rsid w:val="2F176D34"/>
    <w:rsid w:val="2F560A17"/>
    <w:rsid w:val="2F9B65C3"/>
    <w:rsid w:val="2FA07EE4"/>
    <w:rsid w:val="2FA21EAE"/>
    <w:rsid w:val="2FAD0BBB"/>
    <w:rsid w:val="2FAF3D59"/>
    <w:rsid w:val="2FB15C4D"/>
    <w:rsid w:val="2FCB33F0"/>
    <w:rsid w:val="302723B3"/>
    <w:rsid w:val="303F591A"/>
    <w:rsid w:val="30661838"/>
    <w:rsid w:val="30EB23D3"/>
    <w:rsid w:val="30EE4C7F"/>
    <w:rsid w:val="30F45AEE"/>
    <w:rsid w:val="30F77FD8"/>
    <w:rsid w:val="311415DF"/>
    <w:rsid w:val="31536505"/>
    <w:rsid w:val="31567B39"/>
    <w:rsid w:val="31575186"/>
    <w:rsid w:val="315A4460"/>
    <w:rsid w:val="317C6432"/>
    <w:rsid w:val="318F0210"/>
    <w:rsid w:val="31A15973"/>
    <w:rsid w:val="31B45EC9"/>
    <w:rsid w:val="31C15A70"/>
    <w:rsid w:val="31C20987"/>
    <w:rsid w:val="31CA0F04"/>
    <w:rsid w:val="32032617"/>
    <w:rsid w:val="320539B2"/>
    <w:rsid w:val="320F30FF"/>
    <w:rsid w:val="32342B66"/>
    <w:rsid w:val="323637FF"/>
    <w:rsid w:val="323C28A6"/>
    <w:rsid w:val="324C7EAF"/>
    <w:rsid w:val="32577224"/>
    <w:rsid w:val="32614465"/>
    <w:rsid w:val="32643447"/>
    <w:rsid w:val="327C4A1C"/>
    <w:rsid w:val="328C2346"/>
    <w:rsid w:val="329D4BAF"/>
    <w:rsid w:val="32A93554"/>
    <w:rsid w:val="32A970B0"/>
    <w:rsid w:val="32AB107A"/>
    <w:rsid w:val="32B67A1F"/>
    <w:rsid w:val="32C97400"/>
    <w:rsid w:val="32CD2946"/>
    <w:rsid w:val="32E41DD1"/>
    <w:rsid w:val="330D704C"/>
    <w:rsid w:val="33254BC2"/>
    <w:rsid w:val="3330332D"/>
    <w:rsid w:val="3341553A"/>
    <w:rsid w:val="338558E4"/>
    <w:rsid w:val="33857DB5"/>
    <w:rsid w:val="338B2C59"/>
    <w:rsid w:val="338F274A"/>
    <w:rsid w:val="339B74FD"/>
    <w:rsid w:val="342310E4"/>
    <w:rsid w:val="34242F97"/>
    <w:rsid w:val="34273854"/>
    <w:rsid w:val="342A5B0A"/>
    <w:rsid w:val="342D3D10"/>
    <w:rsid w:val="342F6454"/>
    <w:rsid w:val="34313801"/>
    <w:rsid w:val="343D0F8C"/>
    <w:rsid w:val="3442156A"/>
    <w:rsid w:val="344B35BD"/>
    <w:rsid w:val="34627E5E"/>
    <w:rsid w:val="346A34C3"/>
    <w:rsid w:val="34C533FD"/>
    <w:rsid w:val="34CC05E3"/>
    <w:rsid w:val="34EE67C5"/>
    <w:rsid w:val="34FE36A0"/>
    <w:rsid w:val="35066933"/>
    <w:rsid w:val="3509781C"/>
    <w:rsid w:val="35330E85"/>
    <w:rsid w:val="3538602B"/>
    <w:rsid w:val="3550736F"/>
    <w:rsid w:val="35870802"/>
    <w:rsid w:val="358B3002"/>
    <w:rsid w:val="358E4E63"/>
    <w:rsid w:val="35A76421"/>
    <w:rsid w:val="35B20F5B"/>
    <w:rsid w:val="35D94B0C"/>
    <w:rsid w:val="35EA7DA5"/>
    <w:rsid w:val="35EB5A96"/>
    <w:rsid w:val="35EF5B9C"/>
    <w:rsid w:val="35FB4B57"/>
    <w:rsid w:val="365555C4"/>
    <w:rsid w:val="365D44AB"/>
    <w:rsid w:val="36B34176"/>
    <w:rsid w:val="36C4538D"/>
    <w:rsid w:val="36F95BA6"/>
    <w:rsid w:val="37182A56"/>
    <w:rsid w:val="371C436C"/>
    <w:rsid w:val="37472D85"/>
    <w:rsid w:val="37515F68"/>
    <w:rsid w:val="375F68D7"/>
    <w:rsid w:val="3774310E"/>
    <w:rsid w:val="37953B5B"/>
    <w:rsid w:val="37990472"/>
    <w:rsid w:val="37A10C9D"/>
    <w:rsid w:val="37CB6F8D"/>
    <w:rsid w:val="37F8123A"/>
    <w:rsid w:val="3801173C"/>
    <w:rsid w:val="38151BEF"/>
    <w:rsid w:val="382A38D8"/>
    <w:rsid w:val="38325D99"/>
    <w:rsid w:val="38593326"/>
    <w:rsid w:val="385B52F0"/>
    <w:rsid w:val="387140E2"/>
    <w:rsid w:val="387B55BA"/>
    <w:rsid w:val="38875EFD"/>
    <w:rsid w:val="38925F00"/>
    <w:rsid w:val="38966328"/>
    <w:rsid w:val="389E4DF7"/>
    <w:rsid w:val="389E6A5F"/>
    <w:rsid w:val="38CC3AF8"/>
    <w:rsid w:val="38D46409"/>
    <w:rsid w:val="38E54DE2"/>
    <w:rsid w:val="38EF353D"/>
    <w:rsid w:val="39195E55"/>
    <w:rsid w:val="392518F3"/>
    <w:rsid w:val="39303317"/>
    <w:rsid w:val="39557F91"/>
    <w:rsid w:val="395A44A6"/>
    <w:rsid w:val="39B85D22"/>
    <w:rsid w:val="39C46996"/>
    <w:rsid w:val="39FC21BB"/>
    <w:rsid w:val="39FD6D84"/>
    <w:rsid w:val="3A07222A"/>
    <w:rsid w:val="3A1304A1"/>
    <w:rsid w:val="3A2F57A2"/>
    <w:rsid w:val="3A3E7B24"/>
    <w:rsid w:val="3A52002D"/>
    <w:rsid w:val="3A5C01B5"/>
    <w:rsid w:val="3A724054"/>
    <w:rsid w:val="3A8A3559"/>
    <w:rsid w:val="3A9B2F0C"/>
    <w:rsid w:val="3AA60379"/>
    <w:rsid w:val="3AB111F7"/>
    <w:rsid w:val="3AB54F65"/>
    <w:rsid w:val="3ACD3B57"/>
    <w:rsid w:val="3AE024E3"/>
    <w:rsid w:val="3AE05EFB"/>
    <w:rsid w:val="3B0B695B"/>
    <w:rsid w:val="3B333C93"/>
    <w:rsid w:val="3B3D6F2F"/>
    <w:rsid w:val="3B541687"/>
    <w:rsid w:val="3B5A22AA"/>
    <w:rsid w:val="3B6566A6"/>
    <w:rsid w:val="3BA03AED"/>
    <w:rsid w:val="3BBE2092"/>
    <w:rsid w:val="3BC03CD8"/>
    <w:rsid w:val="3BCB62E9"/>
    <w:rsid w:val="3BD87041"/>
    <w:rsid w:val="3BDF7187"/>
    <w:rsid w:val="3BEA4DCE"/>
    <w:rsid w:val="3BF13876"/>
    <w:rsid w:val="3C1C524E"/>
    <w:rsid w:val="3C261162"/>
    <w:rsid w:val="3C511E16"/>
    <w:rsid w:val="3C6749A6"/>
    <w:rsid w:val="3C946775"/>
    <w:rsid w:val="3CAC1FDE"/>
    <w:rsid w:val="3CAF5C0A"/>
    <w:rsid w:val="3CD64441"/>
    <w:rsid w:val="3CEE292A"/>
    <w:rsid w:val="3CF33D49"/>
    <w:rsid w:val="3D0D6C88"/>
    <w:rsid w:val="3D0F3EF4"/>
    <w:rsid w:val="3D6D107C"/>
    <w:rsid w:val="3D7E08AA"/>
    <w:rsid w:val="3D932E36"/>
    <w:rsid w:val="3E135D25"/>
    <w:rsid w:val="3E1F291C"/>
    <w:rsid w:val="3E45157C"/>
    <w:rsid w:val="3E55633E"/>
    <w:rsid w:val="3EC11C25"/>
    <w:rsid w:val="3ECF4A76"/>
    <w:rsid w:val="3ED26B8E"/>
    <w:rsid w:val="3ED46D05"/>
    <w:rsid w:val="3ED623A8"/>
    <w:rsid w:val="3F0C1354"/>
    <w:rsid w:val="3F147B47"/>
    <w:rsid w:val="3F2603A9"/>
    <w:rsid w:val="3F2C07CA"/>
    <w:rsid w:val="3F595E79"/>
    <w:rsid w:val="3F6E5909"/>
    <w:rsid w:val="3F8E016B"/>
    <w:rsid w:val="3F9B4531"/>
    <w:rsid w:val="3FBA180C"/>
    <w:rsid w:val="3FD32AEC"/>
    <w:rsid w:val="3FED10FE"/>
    <w:rsid w:val="3FF37C7A"/>
    <w:rsid w:val="3FFA0DA1"/>
    <w:rsid w:val="404E1296"/>
    <w:rsid w:val="405010BD"/>
    <w:rsid w:val="40AB4C9D"/>
    <w:rsid w:val="40B44FB7"/>
    <w:rsid w:val="40B7779F"/>
    <w:rsid w:val="40CF687B"/>
    <w:rsid w:val="413F7118"/>
    <w:rsid w:val="414D46F9"/>
    <w:rsid w:val="415B3C6B"/>
    <w:rsid w:val="41914247"/>
    <w:rsid w:val="41BC5D72"/>
    <w:rsid w:val="41CA1BCD"/>
    <w:rsid w:val="41CC4671"/>
    <w:rsid w:val="41E9571B"/>
    <w:rsid w:val="41F20426"/>
    <w:rsid w:val="42141C1A"/>
    <w:rsid w:val="42162402"/>
    <w:rsid w:val="421809FC"/>
    <w:rsid w:val="421C5F3B"/>
    <w:rsid w:val="42B00D59"/>
    <w:rsid w:val="42C3318E"/>
    <w:rsid w:val="42DF08CC"/>
    <w:rsid w:val="42FE6FA4"/>
    <w:rsid w:val="43140575"/>
    <w:rsid w:val="431840BE"/>
    <w:rsid w:val="431C567C"/>
    <w:rsid w:val="432B3260"/>
    <w:rsid w:val="43421755"/>
    <w:rsid w:val="43502F2A"/>
    <w:rsid w:val="435E3286"/>
    <w:rsid w:val="438A16AB"/>
    <w:rsid w:val="43952375"/>
    <w:rsid w:val="43BE4985"/>
    <w:rsid w:val="43C26008"/>
    <w:rsid w:val="43D441A9"/>
    <w:rsid w:val="43DA64D4"/>
    <w:rsid w:val="44084BA8"/>
    <w:rsid w:val="440A1978"/>
    <w:rsid w:val="441278C2"/>
    <w:rsid w:val="442B65B3"/>
    <w:rsid w:val="44367D8A"/>
    <w:rsid w:val="44465769"/>
    <w:rsid w:val="445A2900"/>
    <w:rsid w:val="44CC6C2E"/>
    <w:rsid w:val="44E95BCB"/>
    <w:rsid w:val="44F529B8"/>
    <w:rsid w:val="45341CEB"/>
    <w:rsid w:val="45401AF6"/>
    <w:rsid w:val="45425E4C"/>
    <w:rsid w:val="45921193"/>
    <w:rsid w:val="45C2075D"/>
    <w:rsid w:val="45C30031"/>
    <w:rsid w:val="45FB34D6"/>
    <w:rsid w:val="46126144"/>
    <w:rsid w:val="46176D7F"/>
    <w:rsid w:val="461D3BE5"/>
    <w:rsid w:val="4645114D"/>
    <w:rsid w:val="464B24DA"/>
    <w:rsid w:val="46503FBA"/>
    <w:rsid w:val="46560EA5"/>
    <w:rsid w:val="46673C6F"/>
    <w:rsid w:val="467A1037"/>
    <w:rsid w:val="46963409"/>
    <w:rsid w:val="469D4D26"/>
    <w:rsid w:val="46C16C66"/>
    <w:rsid w:val="46D70238"/>
    <w:rsid w:val="471A0124"/>
    <w:rsid w:val="47264D1B"/>
    <w:rsid w:val="4737229B"/>
    <w:rsid w:val="47394A4E"/>
    <w:rsid w:val="47887784"/>
    <w:rsid w:val="47AD4D0A"/>
    <w:rsid w:val="47B642F1"/>
    <w:rsid w:val="47C95F24"/>
    <w:rsid w:val="47ED4B9E"/>
    <w:rsid w:val="47F170D7"/>
    <w:rsid w:val="48084421"/>
    <w:rsid w:val="481D611E"/>
    <w:rsid w:val="482D7A9F"/>
    <w:rsid w:val="482E20D9"/>
    <w:rsid w:val="48387A2E"/>
    <w:rsid w:val="484C701C"/>
    <w:rsid w:val="485748B6"/>
    <w:rsid w:val="487565D5"/>
    <w:rsid w:val="487E1A0A"/>
    <w:rsid w:val="48814AEF"/>
    <w:rsid w:val="48814DE5"/>
    <w:rsid w:val="489A060C"/>
    <w:rsid w:val="48A64365"/>
    <w:rsid w:val="48A759E8"/>
    <w:rsid w:val="48B24CDE"/>
    <w:rsid w:val="49090ED2"/>
    <w:rsid w:val="490C1CEF"/>
    <w:rsid w:val="493A4AAE"/>
    <w:rsid w:val="495E2713"/>
    <w:rsid w:val="496C41A4"/>
    <w:rsid w:val="496E4757"/>
    <w:rsid w:val="497955D6"/>
    <w:rsid w:val="49840E81"/>
    <w:rsid w:val="49872E8D"/>
    <w:rsid w:val="498E1FF1"/>
    <w:rsid w:val="49A46D57"/>
    <w:rsid w:val="49E704D5"/>
    <w:rsid w:val="49E83AF2"/>
    <w:rsid w:val="4A631DE2"/>
    <w:rsid w:val="4A6C513B"/>
    <w:rsid w:val="4A9527F6"/>
    <w:rsid w:val="4A9E6685"/>
    <w:rsid w:val="4AA21E94"/>
    <w:rsid w:val="4AAF78E5"/>
    <w:rsid w:val="4AB37EA8"/>
    <w:rsid w:val="4ABA3F7E"/>
    <w:rsid w:val="4AD578A7"/>
    <w:rsid w:val="4AE5143A"/>
    <w:rsid w:val="4B15132F"/>
    <w:rsid w:val="4B155F08"/>
    <w:rsid w:val="4B2B202F"/>
    <w:rsid w:val="4B334390"/>
    <w:rsid w:val="4B36721D"/>
    <w:rsid w:val="4B457DE8"/>
    <w:rsid w:val="4B49547C"/>
    <w:rsid w:val="4B582229"/>
    <w:rsid w:val="4B6E05C6"/>
    <w:rsid w:val="4B797B0F"/>
    <w:rsid w:val="4BA1067F"/>
    <w:rsid w:val="4BAD3C64"/>
    <w:rsid w:val="4BB666C9"/>
    <w:rsid w:val="4BBF4CB0"/>
    <w:rsid w:val="4C0F4BC6"/>
    <w:rsid w:val="4C1C787E"/>
    <w:rsid w:val="4C3A6497"/>
    <w:rsid w:val="4C4E176E"/>
    <w:rsid w:val="4C506D07"/>
    <w:rsid w:val="4C5668F0"/>
    <w:rsid w:val="4C5F16AB"/>
    <w:rsid w:val="4C7107E7"/>
    <w:rsid w:val="4C7C718B"/>
    <w:rsid w:val="4C8012E6"/>
    <w:rsid w:val="4CB84823"/>
    <w:rsid w:val="4CD174D7"/>
    <w:rsid w:val="4CD46FC7"/>
    <w:rsid w:val="4CE17D3A"/>
    <w:rsid w:val="4CFA72B1"/>
    <w:rsid w:val="4D125895"/>
    <w:rsid w:val="4D1B377D"/>
    <w:rsid w:val="4D2350C8"/>
    <w:rsid w:val="4D447DD6"/>
    <w:rsid w:val="4D4C32CA"/>
    <w:rsid w:val="4D7A36CB"/>
    <w:rsid w:val="4D7B78B8"/>
    <w:rsid w:val="4DA22C22"/>
    <w:rsid w:val="4DE66FB2"/>
    <w:rsid w:val="4E2633B6"/>
    <w:rsid w:val="4E28581D"/>
    <w:rsid w:val="4E604FB7"/>
    <w:rsid w:val="4E727016"/>
    <w:rsid w:val="4E8567D5"/>
    <w:rsid w:val="4EA62AB9"/>
    <w:rsid w:val="4EA71637"/>
    <w:rsid w:val="4EBE20E6"/>
    <w:rsid w:val="4ED33865"/>
    <w:rsid w:val="4EFC2AB9"/>
    <w:rsid w:val="4F0A0D33"/>
    <w:rsid w:val="4F1B2C8C"/>
    <w:rsid w:val="4F2935FA"/>
    <w:rsid w:val="4F4027E0"/>
    <w:rsid w:val="4F483E30"/>
    <w:rsid w:val="4F4949CF"/>
    <w:rsid w:val="4F4C1097"/>
    <w:rsid w:val="4F507982"/>
    <w:rsid w:val="4F53352B"/>
    <w:rsid w:val="4F5542D8"/>
    <w:rsid w:val="4F777673"/>
    <w:rsid w:val="4FAE5C05"/>
    <w:rsid w:val="4FBA7ECC"/>
    <w:rsid w:val="4FCB292C"/>
    <w:rsid w:val="4FD5108C"/>
    <w:rsid w:val="4FE27115"/>
    <w:rsid w:val="50366752"/>
    <w:rsid w:val="505B3434"/>
    <w:rsid w:val="50762ABF"/>
    <w:rsid w:val="50770396"/>
    <w:rsid w:val="50926F7D"/>
    <w:rsid w:val="50D86525"/>
    <w:rsid w:val="50DB26D2"/>
    <w:rsid w:val="50E05F3B"/>
    <w:rsid w:val="51061CFE"/>
    <w:rsid w:val="5133107C"/>
    <w:rsid w:val="513E0D64"/>
    <w:rsid w:val="514B3CFC"/>
    <w:rsid w:val="51555EEB"/>
    <w:rsid w:val="51932FAD"/>
    <w:rsid w:val="51954F77"/>
    <w:rsid w:val="51B73AEB"/>
    <w:rsid w:val="51BD627C"/>
    <w:rsid w:val="51DB6702"/>
    <w:rsid w:val="52067C23"/>
    <w:rsid w:val="52075749"/>
    <w:rsid w:val="52083674"/>
    <w:rsid w:val="521D6D1B"/>
    <w:rsid w:val="52214A5D"/>
    <w:rsid w:val="52383B54"/>
    <w:rsid w:val="52397FF8"/>
    <w:rsid w:val="528B637A"/>
    <w:rsid w:val="52D65641"/>
    <w:rsid w:val="52D77E66"/>
    <w:rsid w:val="531F31B0"/>
    <w:rsid w:val="53256821"/>
    <w:rsid w:val="53371BC7"/>
    <w:rsid w:val="536B33D6"/>
    <w:rsid w:val="537137C2"/>
    <w:rsid w:val="5373753A"/>
    <w:rsid w:val="537D2AEA"/>
    <w:rsid w:val="53874D93"/>
    <w:rsid w:val="53897D65"/>
    <w:rsid w:val="53A56FC8"/>
    <w:rsid w:val="53DF2A81"/>
    <w:rsid w:val="53F7628A"/>
    <w:rsid w:val="53F817ED"/>
    <w:rsid w:val="541505F1"/>
    <w:rsid w:val="543321E8"/>
    <w:rsid w:val="544762D1"/>
    <w:rsid w:val="5482790C"/>
    <w:rsid w:val="54A656ED"/>
    <w:rsid w:val="54DE4E87"/>
    <w:rsid w:val="54E52425"/>
    <w:rsid w:val="54E7161E"/>
    <w:rsid w:val="54F93EBC"/>
    <w:rsid w:val="54FC6507"/>
    <w:rsid w:val="550D0DBE"/>
    <w:rsid w:val="55104775"/>
    <w:rsid w:val="552C79A0"/>
    <w:rsid w:val="555858B6"/>
    <w:rsid w:val="55606201"/>
    <w:rsid w:val="556709D9"/>
    <w:rsid w:val="556D4F91"/>
    <w:rsid w:val="558A0D16"/>
    <w:rsid w:val="55983288"/>
    <w:rsid w:val="559F4B40"/>
    <w:rsid w:val="55B204A9"/>
    <w:rsid w:val="55E62DF0"/>
    <w:rsid w:val="55F13D4A"/>
    <w:rsid w:val="55F83D27"/>
    <w:rsid w:val="55FB2A4A"/>
    <w:rsid w:val="560D330D"/>
    <w:rsid w:val="561623FF"/>
    <w:rsid w:val="566869AE"/>
    <w:rsid w:val="567F61F6"/>
    <w:rsid w:val="56914A45"/>
    <w:rsid w:val="56947D7C"/>
    <w:rsid w:val="56A800D0"/>
    <w:rsid w:val="56A96DCF"/>
    <w:rsid w:val="56BA5480"/>
    <w:rsid w:val="56CC2877"/>
    <w:rsid w:val="56D27D41"/>
    <w:rsid w:val="5703144C"/>
    <w:rsid w:val="574016AD"/>
    <w:rsid w:val="574B5296"/>
    <w:rsid w:val="57684EDC"/>
    <w:rsid w:val="57AC6B77"/>
    <w:rsid w:val="57BE36C1"/>
    <w:rsid w:val="57C97313"/>
    <w:rsid w:val="57E94810"/>
    <w:rsid w:val="57F549C2"/>
    <w:rsid w:val="58030761"/>
    <w:rsid w:val="5814277C"/>
    <w:rsid w:val="582157B7"/>
    <w:rsid w:val="583F08F6"/>
    <w:rsid w:val="587F072F"/>
    <w:rsid w:val="588E2720"/>
    <w:rsid w:val="58BC54DF"/>
    <w:rsid w:val="58C1142F"/>
    <w:rsid w:val="58C73AC8"/>
    <w:rsid w:val="58D47213"/>
    <w:rsid w:val="58ED44A5"/>
    <w:rsid w:val="58FA1B64"/>
    <w:rsid w:val="590D5D3B"/>
    <w:rsid w:val="59157049"/>
    <w:rsid w:val="5967369D"/>
    <w:rsid w:val="5971077F"/>
    <w:rsid w:val="59723DF0"/>
    <w:rsid w:val="598E08D4"/>
    <w:rsid w:val="59BA053E"/>
    <w:rsid w:val="59BD0EF5"/>
    <w:rsid w:val="59E430BA"/>
    <w:rsid w:val="59EA16A2"/>
    <w:rsid w:val="5A1264FD"/>
    <w:rsid w:val="5A2804DC"/>
    <w:rsid w:val="5A4C2893"/>
    <w:rsid w:val="5A5D23AA"/>
    <w:rsid w:val="5A910CA3"/>
    <w:rsid w:val="5A9307AC"/>
    <w:rsid w:val="5A987886"/>
    <w:rsid w:val="5A9D4E9D"/>
    <w:rsid w:val="5A9F0C15"/>
    <w:rsid w:val="5AC21BBF"/>
    <w:rsid w:val="5AC60BF9"/>
    <w:rsid w:val="5AE06634"/>
    <w:rsid w:val="5AE85BC7"/>
    <w:rsid w:val="5AEA74C4"/>
    <w:rsid w:val="5AF36682"/>
    <w:rsid w:val="5B7E4CCE"/>
    <w:rsid w:val="5B870BD7"/>
    <w:rsid w:val="5BA16563"/>
    <w:rsid w:val="5BD77136"/>
    <w:rsid w:val="5BDF0BB6"/>
    <w:rsid w:val="5BF95525"/>
    <w:rsid w:val="5BFF190E"/>
    <w:rsid w:val="5C052EEE"/>
    <w:rsid w:val="5C2A6C04"/>
    <w:rsid w:val="5C34538D"/>
    <w:rsid w:val="5C3774BC"/>
    <w:rsid w:val="5C5872CD"/>
    <w:rsid w:val="5C763BF7"/>
    <w:rsid w:val="5C9154FA"/>
    <w:rsid w:val="5C9E076F"/>
    <w:rsid w:val="5CB85FBE"/>
    <w:rsid w:val="5CE772FA"/>
    <w:rsid w:val="5CF13AB1"/>
    <w:rsid w:val="5CF80AB0"/>
    <w:rsid w:val="5D0134C1"/>
    <w:rsid w:val="5D174E5B"/>
    <w:rsid w:val="5D2B49E2"/>
    <w:rsid w:val="5D30300A"/>
    <w:rsid w:val="5D307E8D"/>
    <w:rsid w:val="5D447851"/>
    <w:rsid w:val="5D4E06D0"/>
    <w:rsid w:val="5D4E3A0B"/>
    <w:rsid w:val="5D815B15"/>
    <w:rsid w:val="5DA54D48"/>
    <w:rsid w:val="5DD15589"/>
    <w:rsid w:val="5DE80F48"/>
    <w:rsid w:val="5DEC23C3"/>
    <w:rsid w:val="5E17224E"/>
    <w:rsid w:val="5E2C0A11"/>
    <w:rsid w:val="5E2D6537"/>
    <w:rsid w:val="5E4C044A"/>
    <w:rsid w:val="5E6A579E"/>
    <w:rsid w:val="5E704474"/>
    <w:rsid w:val="5EBE194A"/>
    <w:rsid w:val="5EC155FD"/>
    <w:rsid w:val="5ECA5D7B"/>
    <w:rsid w:val="5ECC3FA2"/>
    <w:rsid w:val="5F5226F9"/>
    <w:rsid w:val="5F531FCE"/>
    <w:rsid w:val="5F5F4E16"/>
    <w:rsid w:val="5F6A121C"/>
    <w:rsid w:val="5FB068A0"/>
    <w:rsid w:val="5FB764BA"/>
    <w:rsid w:val="5FCA136C"/>
    <w:rsid w:val="5FDC0215"/>
    <w:rsid w:val="5FDE5D3B"/>
    <w:rsid w:val="5FF217E7"/>
    <w:rsid w:val="60386654"/>
    <w:rsid w:val="605204D7"/>
    <w:rsid w:val="60607A78"/>
    <w:rsid w:val="60735954"/>
    <w:rsid w:val="607B7425"/>
    <w:rsid w:val="60956D42"/>
    <w:rsid w:val="60C03693"/>
    <w:rsid w:val="60F6691C"/>
    <w:rsid w:val="61142591"/>
    <w:rsid w:val="611A0FF5"/>
    <w:rsid w:val="61371BA7"/>
    <w:rsid w:val="6139559F"/>
    <w:rsid w:val="615C0C4D"/>
    <w:rsid w:val="615E2D65"/>
    <w:rsid w:val="61834388"/>
    <w:rsid w:val="61842912"/>
    <w:rsid w:val="619446E2"/>
    <w:rsid w:val="61ED495B"/>
    <w:rsid w:val="62193498"/>
    <w:rsid w:val="623600B0"/>
    <w:rsid w:val="62A96AD4"/>
    <w:rsid w:val="62BD4C4D"/>
    <w:rsid w:val="62D4737B"/>
    <w:rsid w:val="62D7000D"/>
    <w:rsid w:val="62FA0AFC"/>
    <w:rsid w:val="63071A4D"/>
    <w:rsid w:val="63124597"/>
    <w:rsid w:val="63171E8E"/>
    <w:rsid w:val="632117EE"/>
    <w:rsid w:val="6321574C"/>
    <w:rsid w:val="633A772C"/>
    <w:rsid w:val="633C1F50"/>
    <w:rsid w:val="633D2D9C"/>
    <w:rsid w:val="634935F0"/>
    <w:rsid w:val="635976C3"/>
    <w:rsid w:val="636269AF"/>
    <w:rsid w:val="636E5628"/>
    <w:rsid w:val="63A948B2"/>
    <w:rsid w:val="63D511F7"/>
    <w:rsid w:val="63FB6033"/>
    <w:rsid w:val="644A2E97"/>
    <w:rsid w:val="646E28D0"/>
    <w:rsid w:val="64750A9E"/>
    <w:rsid w:val="64944F4F"/>
    <w:rsid w:val="64AF7CA6"/>
    <w:rsid w:val="64CA1330"/>
    <w:rsid w:val="64D34799"/>
    <w:rsid w:val="64E02555"/>
    <w:rsid w:val="650028B6"/>
    <w:rsid w:val="6514666E"/>
    <w:rsid w:val="652D581A"/>
    <w:rsid w:val="65736F26"/>
    <w:rsid w:val="65912423"/>
    <w:rsid w:val="65914D10"/>
    <w:rsid w:val="65C041E2"/>
    <w:rsid w:val="65C23A09"/>
    <w:rsid w:val="65D8147F"/>
    <w:rsid w:val="65DC0F6F"/>
    <w:rsid w:val="65E322FD"/>
    <w:rsid w:val="660508C8"/>
    <w:rsid w:val="66094DDC"/>
    <w:rsid w:val="6615622F"/>
    <w:rsid w:val="663A3EE7"/>
    <w:rsid w:val="66511683"/>
    <w:rsid w:val="667C6A4B"/>
    <w:rsid w:val="668D4017"/>
    <w:rsid w:val="669C7460"/>
    <w:rsid w:val="66B25E65"/>
    <w:rsid w:val="66C9435B"/>
    <w:rsid w:val="66D02D41"/>
    <w:rsid w:val="66F73E63"/>
    <w:rsid w:val="671E2DBD"/>
    <w:rsid w:val="67211A19"/>
    <w:rsid w:val="67337EAA"/>
    <w:rsid w:val="675944BB"/>
    <w:rsid w:val="677A27ED"/>
    <w:rsid w:val="6780592A"/>
    <w:rsid w:val="67985314"/>
    <w:rsid w:val="679C1682"/>
    <w:rsid w:val="67A85A94"/>
    <w:rsid w:val="67A96C2F"/>
    <w:rsid w:val="67B11F87"/>
    <w:rsid w:val="67C72353"/>
    <w:rsid w:val="67DB4029"/>
    <w:rsid w:val="680D5952"/>
    <w:rsid w:val="68246BE9"/>
    <w:rsid w:val="68306E82"/>
    <w:rsid w:val="68486CFD"/>
    <w:rsid w:val="689466BA"/>
    <w:rsid w:val="68A10A19"/>
    <w:rsid w:val="68E26956"/>
    <w:rsid w:val="68FA1C01"/>
    <w:rsid w:val="69034A64"/>
    <w:rsid w:val="69046375"/>
    <w:rsid w:val="69390486"/>
    <w:rsid w:val="6949289B"/>
    <w:rsid w:val="696305FA"/>
    <w:rsid w:val="69757EC7"/>
    <w:rsid w:val="6987405A"/>
    <w:rsid w:val="69932457"/>
    <w:rsid w:val="69BE6C42"/>
    <w:rsid w:val="69C772C7"/>
    <w:rsid w:val="69CA3AD4"/>
    <w:rsid w:val="69D65AA7"/>
    <w:rsid w:val="69E439CE"/>
    <w:rsid w:val="6A021836"/>
    <w:rsid w:val="6A503CD9"/>
    <w:rsid w:val="6A5C119E"/>
    <w:rsid w:val="6A6E4160"/>
    <w:rsid w:val="6A7606E9"/>
    <w:rsid w:val="6A7C687C"/>
    <w:rsid w:val="6A9D0933"/>
    <w:rsid w:val="6ABE009D"/>
    <w:rsid w:val="6ACC2D25"/>
    <w:rsid w:val="6B004FC8"/>
    <w:rsid w:val="6B131E55"/>
    <w:rsid w:val="6B3E531B"/>
    <w:rsid w:val="6B777044"/>
    <w:rsid w:val="6B7E15CF"/>
    <w:rsid w:val="6BA02A3F"/>
    <w:rsid w:val="6BA74C05"/>
    <w:rsid w:val="6BB40298"/>
    <w:rsid w:val="6BDF2CDA"/>
    <w:rsid w:val="6C131266"/>
    <w:rsid w:val="6C2C7E2E"/>
    <w:rsid w:val="6C384A25"/>
    <w:rsid w:val="6C460A12"/>
    <w:rsid w:val="6C546FB5"/>
    <w:rsid w:val="6C6413CE"/>
    <w:rsid w:val="6C81017A"/>
    <w:rsid w:val="6C865790"/>
    <w:rsid w:val="6C8E3325"/>
    <w:rsid w:val="6C9F4AA4"/>
    <w:rsid w:val="6CEB1A97"/>
    <w:rsid w:val="6D1C1317"/>
    <w:rsid w:val="6D3128AA"/>
    <w:rsid w:val="6D456E9A"/>
    <w:rsid w:val="6D7D4B4A"/>
    <w:rsid w:val="6D813F63"/>
    <w:rsid w:val="6D964EBD"/>
    <w:rsid w:val="6DA336B7"/>
    <w:rsid w:val="6DB175E8"/>
    <w:rsid w:val="6DCF0158"/>
    <w:rsid w:val="6DDF634E"/>
    <w:rsid w:val="6DE53E47"/>
    <w:rsid w:val="6E0C32C7"/>
    <w:rsid w:val="6E26547D"/>
    <w:rsid w:val="6E270FFB"/>
    <w:rsid w:val="6E2F4A6A"/>
    <w:rsid w:val="6E3B63B9"/>
    <w:rsid w:val="6E447EB8"/>
    <w:rsid w:val="6E67586D"/>
    <w:rsid w:val="6E790614"/>
    <w:rsid w:val="6E972383"/>
    <w:rsid w:val="6E9907FC"/>
    <w:rsid w:val="6EA74844"/>
    <w:rsid w:val="6EC35447"/>
    <w:rsid w:val="6ED24324"/>
    <w:rsid w:val="6EF414B3"/>
    <w:rsid w:val="6EF646A2"/>
    <w:rsid w:val="6F280D81"/>
    <w:rsid w:val="6F2968A7"/>
    <w:rsid w:val="6F2E0A8A"/>
    <w:rsid w:val="6F2F5692"/>
    <w:rsid w:val="6F5E2C53"/>
    <w:rsid w:val="6F892B6A"/>
    <w:rsid w:val="703D2AC4"/>
    <w:rsid w:val="70546320"/>
    <w:rsid w:val="706B4BC5"/>
    <w:rsid w:val="70702E41"/>
    <w:rsid w:val="70765B1C"/>
    <w:rsid w:val="70903082"/>
    <w:rsid w:val="70A3763F"/>
    <w:rsid w:val="70AE3DEC"/>
    <w:rsid w:val="71031BCC"/>
    <w:rsid w:val="71105F71"/>
    <w:rsid w:val="71237A52"/>
    <w:rsid w:val="71267542"/>
    <w:rsid w:val="713D663A"/>
    <w:rsid w:val="71530B04"/>
    <w:rsid w:val="715A543E"/>
    <w:rsid w:val="71644FCD"/>
    <w:rsid w:val="716F2A52"/>
    <w:rsid w:val="717B70B1"/>
    <w:rsid w:val="71881333"/>
    <w:rsid w:val="718F5860"/>
    <w:rsid w:val="71B63EAC"/>
    <w:rsid w:val="71C11019"/>
    <w:rsid w:val="71D2477D"/>
    <w:rsid w:val="71F475E4"/>
    <w:rsid w:val="71F86AF9"/>
    <w:rsid w:val="723B3C37"/>
    <w:rsid w:val="72477770"/>
    <w:rsid w:val="72640322"/>
    <w:rsid w:val="72665ED0"/>
    <w:rsid w:val="729F135A"/>
    <w:rsid w:val="72A1574A"/>
    <w:rsid w:val="72A26D39"/>
    <w:rsid w:val="72A838E9"/>
    <w:rsid w:val="72B513C2"/>
    <w:rsid w:val="72DB43BD"/>
    <w:rsid w:val="72E90827"/>
    <w:rsid w:val="730B4C41"/>
    <w:rsid w:val="730E3F33"/>
    <w:rsid w:val="732B0E40"/>
    <w:rsid w:val="733A1083"/>
    <w:rsid w:val="739E5AB6"/>
    <w:rsid w:val="74071C5B"/>
    <w:rsid w:val="740D49E9"/>
    <w:rsid w:val="74341F76"/>
    <w:rsid w:val="74365CEE"/>
    <w:rsid w:val="74470C8A"/>
    <w:rsid w:val="745C7D6C"/>
    <w:rsid w:val="745F28C4"/>
    <w:rsid w:val="747D391D"/>
    <w:rsid w:val="749557C9"/>
    <w:rsid w:val="74A40C7B"/>
    <w:rsid w:val="74B77420"/>
    <w:rsid w:val="74D1654B"/>
    <w:rsid w:val="74FB3256"/>
    <w:rsid w:val="75092DF0"/>
    <w:rsid w:val="750D18B7"/>
    <w:rsid w:val="754200FE"/>
    <w:rsid w:val="75575362"/>
    <w:rsid w:val="758C32A0"/>
    <w:rsid w:val="75C07854"/>
    <w:rsid w:val="75E6623C"/>
    <w:rsid w:val="75E874BC"/>
    <w:rsid w:val="76096C98"/>
    <w:rsid w:val="762205FD"/>
    <w:rsid w:val="762878B8"/>
    <w:rsid w:val="764B1C62"/>
    <w:rsid w:val="76545C1E"/>
    <w:rsid w:val="765854EF"/>
    <w:rsid w:val="767123D3"/>
    <w:rsid w:val="767B2DBF"/>
    <w:rsid w:val="768D3E7B"/>
    <w:rsid w:val="769B398C"/>
    <w:rsid w:val="76B455F0"/>
    <w:rsid w:val="76DD02EA"/>
    <w:rsid w:val="76F679B7"/>
    <w:rsid w:val="771247BD"/>
    <w:rsid w:val="77242776"/>
    <w:rsid w:val="77276F5B"/>
    <w:rsid w:val="77282E24"/>
    <w:rsid w:val="77360E19"/>
    <w:rsid w:val="77361AE6"/>
    <w:rsid w:val="77370076"/>
    <w:rsid w:val="7746690D"/>
    <w:rsid w:val="77475EA5"/>
    <w:rsid w:val="775670A4"/>
    <w:rsid w:val="7758768D"/>
    <w:rsid w:val="77AB254F"/>
    <w:rsid w:val="77D31AA6"/>
    <w:rsid w:val="77EA6925"/>
    <w:rsid w:val="77F45633"/>
    <w:rsid w:val="780A3970"/>
    <w:rsid w:val="78151CD1"/>
    <w:rsid w:val="78523EF2"/>
    <w:rsid w:val="789816F7"/>
    <w:rsid w:val="78BC51E1"/>
    <w:rsid w:val="78C0027C"/>
    <w:rsid w:val="78C560F3"/>
    <w:rsid w:val="78C7160B"/>
    <w:rsid w:val="78D3594E"/>
    <w:rsid w:val="78E20BC8"/>
    <w:rsid w:val="78EC5779"/>
    <w:rsid w:val="7947274B"/>
    <w:rsid w:val="797177C8"/>
    <w:rsid w:val="797C1F00"/>
    <w:rsid w:val="797F3E53"/>
    <w:rsid w:val="79887D2A"/>
    <w:rsid w:val="798973A7"/>
    <w:rsid w:val="798D6FC6"/>
    <w:rsid w:val="79CB512B"/>
    <w:rsid w:val="79F717CF"/>
    <w:rsid w:val="7A267FF6"/>
    <w:rsid w:val="7A2F2B2A"/>
    <w:rsid w:val="7A320D06"/>
    <w:rsid w:val="7A3727B5"/>
    <w:rsid w:val="7A6C06BC"/>
    <w:rsid w:val="7A807CB8"/>
    <w:rsid w:val="7AA52218"/>
    <w:rsid w:val="7AC06311"/>
    <w:rsid w:val="7ADE4A38"/>
    <w:rsid w:val="7AE0477F"/>
    <w:rsid w:val="7AEF2DA3"/>
    <w:rsid w:val="7B3D0F06"/>
    <w:rsid w:val="7B455AEF"/>
    <w:rsid w:val="7B613D07"/>
    <w:rsid w:val="7B6D0CD8"/>
    <w:rsid w:val="7B6E0463"/>
    <w:rsid w:val="7B777280"/>
    <w:rsid w:val="7B7F7FA0"/>
    <w:rsid w:val="7B831F2E"/>
    <w:rsid w:val="7B8F247A"/>
    <w:rsid w:val="7BC4727D"/>
    <w:rsid w:val="7BCD694B"/>
    <w:rsid w:val="7BCE4618"/>
    <w:rsid w:val="7BD2355A"/>
    <w:rsid w:val="7BDD493C"/>
    <w:rsid w:val="7BEC139F"/>
    <w:rsid w:val="7BFF4A81"/>
    <w:rsid w:val="7C1A5EF5"/>
    <w:rsid w:val="7C3C7373"/>
    <w:rsid w:val="7C53287A"/>
    <w:rsid w:val="7C833A9B"/>
    <w:rsid w:val="7CA22801"/>
    <w:rsid w:val="7CA57EB5"/>
    <w:rsid w:val="7CCA0125"/>
    <w:rsid w:val="7CD70F81"/>
    <w:rsid w:val="7CF77FE5"/>
    <w:rsid w:val="7D00333D"/>
    <w:rsid w:val="7D003E12"/>
    <w:rsid w:val="7D111226"/>
    <w:rsid w:val="7D124C9D"/>
    <w:rsid w:val="7D20340B"/>
    <w:rsid w:val="7D441FCB"/>
    <w:rsid w:val="7D5176F5"/>
    <w:rsid w:val="7D592A4D"/>
    <w:rsid w:val="7D6E5432"/>
    <w:rsid w:val="7D91379D"/>
    <w:rsid w:val="7D9C2A5C"/>
    <w:rsid w:val="7DBE565E"/>
    <w:rsid w:val="7DD74853"/>
    <w:rsid w:val="7DE70059"/>
    <w:rsid w:val="7DE85F90"/>
    <w:rsid w:val="7DE93DD1"/>
    <w:rsid w:val="7DF21EDF"/>
    <w:rsid w:val="7E097FCF"/>
    <w:rsid w:val="7E3E089F"/>
    <w:rsid w:val="7E682D3C"/>
    <w:rsid w:val="7E682F48"/>
    <w:rsid w:val="7E8B774D"/>
    <w:rsid w:val="7EA11987"/>
    <w:rsid w:val="7EB77A2B"/>
    <w:rsid w:val="7ED15BD2"/>
    <w:rsid w:val="7F160CF6"/>
    <w:rsid w:val="7F2D5F40"/>
    <w:rsid w:val="7F4F235A"/>
    <w:rsid w:val="7F943DA8"/>
    <w:rsid w:val="7FA94A6E"/>
    <w:rsid w:val="7FDA0ECC"/>
    <w:rsid w:val="7FDA60C7"/>
    <w:rsid w:val="7FDD1830"/>
    <w:rsid w:val="7FEA58BF"/>
    <w:rsid w:val="7FEF2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26"/>
    <w:autoRedefine/>
    <w:qFormat/>
    <w:uiPriority w:val="0"/>
    <w:pPr>
      <w:keepNext/>
      <w:keepLines/>
      <w:spacing w:before="260" w:after="260" w:line="416" w:lineRule="auto"/>
      <w:outlineLvl w:val="2"/>
    </w:pPr>
    <w:rPr>
      <w:b/>
      <w:bCs/>
      <w:sz w:val="32"/>
      <w:szCs w:val="32"/>
    </w:rPr>
  </w:style>
  <w:style w:type="paragraph" w:styleId="3">
    <w:name w:val="heading 4"/>
    <w:basedOn w:val="1"/>
    <w:next w:val="1"/>
    <w:link w:val="25"/>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2">
    <w:name w:val="Normal Indent"/>
    <w:basedOn w:val="1"/>
    <w:next w:val="3"/>
    <w:autoRedefine/>
    <w:qFormat/>
    <w:uiPriority w:val="0"/>
    <w:pPr>
      <w:spacing w:line="600" w:lineRule="exact"/>
      <w:ind w:firstLine="420" w:firstLineChars="200"/>
    </w:pPr>
    <w:rPr>
      <w:rFonts w:ascii="宋体" w:hAnsi="宋体"/>
      <w:color w:val="000000"/>
      <w:kern w:val="0"/>
      <w:sz w:val="28"/>
      <w:szCs w:val="20"/>
    </w:rPr>
  </w:style>
  <w:style w:type="paragraph" w:styleId="7">
    <w:name w:val="annotation text"/>
    <w:basedOn w:val="1"/>
    <w:autoRedefine/>
    <w:qFormat/>
    <w:uiPriority w:val="0"/>
    <w:pPr>
      <w:jc w:val="left"/>
    </w:pPr>
  </w:style>
  <w:style w:type="paragraph" w:styleId="8">
    <w:name w:val="Body Text"/>
    <w:basedOn w:val="1"/>
    <w:next w:val="9"/>
    <w:autoRedefine/>
    <w:semiHidden/>
    <w:qFormat/>
    <w:uiPriority w:val="0"/>
    <w:rPr>
      <w:rFonts w:ascii="仿宋" w:hAnsi="仿宋" w:eastAsia="仿宋" w:cs="仿宋"/>
      <w:sz w:val="28"/>
      <w:szCs w:val="28"/>
      <w:lang w:val="en-US" w:eastAsia="en-US" w:bidi="ar-SA"/>
    </w:rPr>
  </w:style>
  <w:style w:type="paragraph" w:styleId="9">
    <w:name w:val="toc 2"/>
    <w:basedOn w:val="1"/>
    <w:next w:val="1"/>
    <w:autoRedefine/>
    <w:qFormat/>
    <w:uiPriority w:val="39"/>
    <w:pPr>
      <w:ind w:left="210"/>
      <w:jc w:val="left"/>
    </w:pPr>
    <w:rPr>
      <w:rFonts w:ascii="Calibri" w:hAnsi="Calibri" w:cs="Calibri"/>
      <w:smallCaps/>
      <w:sz w:val="20"/>
      <w:szCs w:val="20"/>
    </w:rPr>
  </w:style>
  <w:style w:type="paragraph" w:styleId="10">
    <w:name w:val="Body Text Indent"/>
    <w:basedOn w:val="1"/>
    <w:next w:val="1"/>
    <w:autoRedefine/>
    <w:qFormat/>
    <w:uiPriority w:val="0"/>
    <w:pPr>
      <w:spacing w:line="360" w:lineRule="exact"/>
      <w:ind w:firstLine="599" w:firstLineChars="214"/>
    </w:pPr>
    <w:rPr>
      <w:sz w:val="28"/>
    </w:rPr>
  </w:style>
  <w:style w:type="paragraph" w:styleId="11">
    <w:name w:val="Plain Text"/>
    <w:basedOn w:val="1"/>
    <w:autoRedefine/>
    <w:qFormat/>
    <w:uiPriority w:val="99"/>
    <w:rPr>
      <w:rFonts w:ascii="宋体" w:hAnsi="Courier New" w:cs="Courier New"/>
      <w:szCs w:val="21"/>
    </w:rPr>
  </w:style>
  <w:style w:type="paragraph" w:styleId="12">
    <w:name w:val="Body Text Indent 2"/>
    <w:basedOn w:val="1"/>
    <w:next w:val="13"/>
    <w:autoRedefine/>
    <w:unhideWhenUsed/>
    <w:qFormat/>
    <w:uiPriority w:val="99"/>
    <w:pPr>
      <w:autoSpaceDE w:val="0"/>
      <w:autoSpaceDN w:val="0"/>
      <w:ind w:left="-3"/>
      <w:jc w:val="left"/>
    </w:pPr>
    <w:rPr>
      <w:rFonts w:ascii="仿宋_GB2312" w:eastAsia="仿宋_GB2312"/>
      <w:kern w:val="0"/>
      <w:sz w:val="24"/>
    </w:rPr>
  </w:style>
  <w:style w:type="paragraph" w:customStyle="1" w:styleId="13">
    <w:name w:val="表格文字"/>
    <w:basedOn w:val="2"/>
    <w:autoRedefine/>
    <w:qFormat/>
    <w:uiPriority w:val="0"/>
    <w:pPr>
      <w:autoSpaceDE w:val="0"/>
      <w:autoSpaceDN w:val="0"/>
      <w:adjustRightInd w:val="0"/>
      <w:spacing w:before="60" w:after="60"/>
      <w:jc w:val="center"/>
    </w:pPr>
    <w:rPr>
      <w:rFonts w:eastAsia="仿宋_GB2312"/>
      <w:kern w:val="0"/>
    </w:rPr>
  </w:style>
  <w:style w:type="paragraph" w:styleId="14">
    <w:name w:val="footer"/>
    <w:basedOn w:val="1"/>
    <w:autoRedefine/>
    <w:qFormat/>
    <w:uiPriority w:val="99"/>
    <w:pPr>
      <w:tabs>
        <w:tab w:val="center" w:pos="4153"/>
        <w:tab w:val="right" w:pos="8306"/>
      </w:tabs>
      <w:snapToGrid w:val="0"/>
      <w:jc w:val="left"/>
    </w:pPr>
    <w:rPr>
      <w:sz w:val="18"/>
      <w:szCs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39"/>
    <w:pPr>
      <w:spacing w:before="120" w:after="120"/>
      <w:jc w:val="left"/>
    </w:pPr>
    <w:rPr>
      <w:rFonts w:ascii="Calibri" w:hAnsi="Calibri" w:cs="Calibri"/>
      <w:b/>
      <w:bCs/>
      <w:caps/>
      <w:sz w:val="20"/>
      <w:szCs w:val="20"/>
    </w:rPr>
  </w:style>
  <w:style w:type="paragraph" w:styleId="17">
    <w:name w:val="Body Text 2"/>
    <w:basedOn w:val="1"/>
    <w:autoRedefine/>
    <w:qFormat/>
    <w:uiPriority w:val="0"/>
    <w:pPr>
      <w:spacing w:after="120" w:line="480" w:lineRule="auto"/>
    </w:pPr>
  </w:style>
  <w:style w:type="paragraph" w:styleId="18">
    <w:name w:val="Body Text First Indent"/>
    <w:basedOn w:val="8"/>
    <w:autoRedefine/>
    <w:qFormat/>
    <w:uiPriority w:val="0"/>
    <w:pPr>
      <w:ind w:firstLine="420" w:firstLineChars="100"/>
    </w:pPr>
    <w:rPr>
      <w:rFonts w:ascii="Calibri" w:hAnsi="Calibri"/>
    </w:rPr>
  </w:style>
  <w:style w:type="paragraph" w:styleId="19">
    <w:name w:val="Body Text First Indent 2"/>
    <w:basedOn w:val="10"/>
    <w:next w:val="1"/>
    <w:autoRedefine/>
    <w:qFormat/>
    <w:uiPriority w:val="0"/>
    <w:pPr>
      <w:spacing w:after="120" w:line="240" w:lineRule="auto"/>
      <w:ind w:left="420" w:leftChars="200" w:firstLine="420" w:firstLineChars="200"/>
    </w:pPr>
    <w:rPr>
      <w:sz w:val="21"/>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autoRedefine/>
    <w:qFormat/>
    <w:uiPriority w:val="0"/>
  </w:style>
  <w:style w:type="character" w:styleId="24">
    <w:name w:val="annotation reference"/>
    <w:autoRedefine/>
    <w:qFormat/>
    <w:uiPriority w:val="99"/>
    <w:rPr>
      <w:sz w:val="21"/>
      <w:szCs w:val="21"/>
    </w:rPr>
  </w:style>
  <w:style w:type="character" w:customStyle="1" w:styleId="25">
    <w:name w:val="标题 4 Char"/>
    <w:link w:val="3"/>
    <w:autoRedefine/>
    <w:qFormat/>
    <w:uiPriority w:val="0"/>
    <w:rPr>
      <w:rFonts w:ascii="Arial" w:hAnsi="Arial" w:eastAsia="黑体"/>
      <w:b/>
      <w:bCs/>
      <w:sz w:val="28"/>
      <w:szCs w:val="28"/>
    </w:rPr>
  </w:style>
  <w:style w:type="character" w:customStyle="1" w:styleId="26">
    <w:name w:val="标题 3 Char"/>
    <w:link w:val="6"/>
    <w:autoRedefine/>
    <w:qFormat/>
    <w:uiPriority w:val="0"/>
    <w:rPr>
      <w:b/>
      <w:bCs/>
      <w:sz w:val="32"/>
      <w:szCs w:val="32"/>
    </w:rPr>
  </w:style>
  <w:style w:type="paragraph" w:customStyle="1" w:styleId="27">
    <w:name w:val="表格1"/>
    <w:basedOn w:val="1"/>
    <w:autoRedefine/>
    <w:qFormat/>
    <w:uiPriority w:val="0"/>
    <w:pPr>
      <w:spacing w:line="240" w:lineRule="auto"/>
      <w:ind w:firstLine="0" w:firstLineChars="0"/>
      <w:jc w:val="center"/>
    </w:pPr>
    <w:rPr>
      <w:rFonts w:hint="eastAsia"/>
      <w:color w:val="000000"/>
      <w:sz w:val="21"/>
    </w:rPr>
  </w:style>
  <w:style w:type="paragraph" w:customStyle="1" w:styleId="28">
    <w:name w:val="样式 标题4"/>
    <w:basedOn w:val="3"/>
    <w:autoRedefine/>
    <w:qFormat/>
    <w:uiPriority w:val="0"/>
    <w:pPr>
      <w:spacing w:before="0" w:after="0" w:line="360" w:lineRule="auto"/>
    </w:pPr>
    <w:rPr>
      <w:rFonts w:ascii="Calibri" w:hAnsi="Calibri" w:eastAsia="宋体"/>
      <w:sz w:val="24"/>
      <w:szCs w:val="24"/>
    </w:rPr>
  </w:style>
  <w:style w:type="paragraph" w:customStyle="1" w:styleId="29">
    <w:name w:val="样式5"/>
    <w:basedOn w:val="1"/>
    <w:autoRedefine/>
    <w:qFormat/>
    <w:uiPriority w:val="0"/>
    <w:pPr>
      <w:widowControl/>
      <w:snapToGrid w:val="0"/>
      <w:spacing w:line="360" w:lineRule="auto"/>
      <w:ind w:firstLine="510"/>
      <w:jc w:val="left"/>
    </w:pPr>
    <w:rPr>
      <w:rFonts w:ascii="Calibri" w:hAnsi="Calibri"/>
      <w:sz w:val="24"/>
    </w:rPr>
  </w:style>
  <w:style w:type="paragraph" w:customStyle="1" w:styleId="30">
    <w:name w:val="A表格"/>
    <w:basedOn w:val="1"/>
    <w:autoRedefine/>
    <w:qFormat/>
    <w:uiPriority w:val="0"/>
    <w:pPr>
      <w:spacing w:line="240" w:lineRule="auto"/>
      <w:ind w:firstLine="0" w:firstLineChars="0"/>
      <w:jc w:val="center"/>
    </w:pPr>
    <w:rPr>
      <w:rFonts w:hint="eastAsia"/>
      <w:sz w:val="21"/>
    </w:rPr>
  </w:style>
  <w:style w:type="paragraph" w:customStyle="1" w:styleId="31">
    <w:name w:val="正文1"/>
    <w:basedOn w:val="1"/>
    <w:autoRedefine/>
    <w:qFormat/>
    <w:uiPriority w:val="0"/>
    <w:pPr>
      <w:spacing w:line="360" w:lineRule="auto"/>
      <w:ind w:firstLine="480" w:firstLineChars="200"/>
    </w:pPr>
    <w:rPr>
      <w:rFonts w:ascii="Calibri" w:hAnsi="Calibri"/>
      <w:snapToGrid w:val="0"/>
      <w:sz w:val="24"/>
    </w:rPr>
  </w:style>
  <w:style w:type="paragraph" w:customStyle="1" w:styleId="32">
    <w:name w:val="表格格式"/>
    <w:basedOn w:val="1"/>
    <w:autoRedefine/>
    <w:qFormat/>
    <w:uiPriority w:val="0"/>
    <w:pPr>
      <w:spacing w:line="0" w:lineRule="atLeast"/>
      <w:jc w:val="center"/>
    </w:pPr>
    <w:rPr>
      <w:rFonts w:eastAsia="Times New Roman" w:cs="Times New Roman"/>
      <w:szCs w:val="22"/>
    </w:rPr>
  </w:style>
  <w:style w:type="paragraph" w:customStyle="1" w:styleId="33">
    <w:name w:val="1正文段落"/>
    <w:basedOn w:val="1"/>
    <w:autoRedefine/>
    <w:qFormat/>
    <w:uiPriority w:val="0"/>
    <w:pPr>
      <w:spacing w:line="360" w:lineRule="auto"/>
      <w:ind w:firstLine="200" w:firstLineChars="200"/>
      <w:jc w:val="left"/>
    </w:pPr>
    <w:rPr>
      <w:rFonts w:ascii="宋体" w:hAnsi="宋体" w:cs="宋体"/>
      <w:snapToGrid w:val="0"/>
      <w:kern w:val="0"/>
      <w:sz w:val="24"/>
    </w:rPr>
  </w:style>
  <w:style w:type="paragraph" w:customStyle="1" w:styleId="34">
    <w:name w:val="国电正文"/>
    <w:basedOn w:val="1"/>
    <w:autoRedefine/>
    <w:qFormat/>
    <w:uiPriority w:val="0"/>
    <w:pPr>
      <w:spacing w:line="360" w:lineRule="auto"/>
      <w:ind w:firstLine="480" w:firstLineChars="200"/>
    </w:pPr>
    <w:rPr>
      <w:rFonts w:ascii="宋体" w:hAnsi="宋体" w:cs="宋体"/>
      <w:color w:val="000000"/>
      <w:sz w:val="24"/>
      <w:szCs w:val="22"/>
    </w:rPr>
  </w:style>
  <w:style w:type="paragraph" w:customStyle="1" w:styleId="35">
    <w:name w:val="表格"/>
    <w:basedOn w:val="2"/>
    <w:next w:val="17"/>
    <w:autoRedefine/>
    <w:qFormat/>
    <w:uiPriority w:val="0"/>
    <w:pPr>
      <w:adjustRightInd w:val="0"/>
      <w:spacing w:before="40" w:after="40"/>
      <w:textAlignment w:val="baseline"/>
    </w:pPr>
    <w:rPr>
      <w:rFonts w:ascii="昆仑仿宋" w:hAnsi="宋体" w:eastAsia="昆仑仿宋" w:cs="宋体"/>
      <w:kern w:val="0"/>
      <w:sz w:val="24"/>
      <w:szCs w:val="22"/>
    </w:rPr>
  </w:style>
  <w:style w:type="paragraph" w:customStyle="1" w:styleId="36">
    <w:name w:val="样式 标题 1 + 居中"/>
    <w:basedOn w:val="4"/>
    <w:next w:val="1"/>
    <w:autoRedefine/>
    <w:qFormat/>
    <w:uiPriority w:val="0"/>
    <w:pPr>
      <w:pageBreakBefore/>
      <w:widowControl/>
      <w:jc w:val="center"/>
    </w:pPr>
    <w:rPr>
      <w:rFonts w:eastAsia="黑体" w:cs="宋体"/>
      <w:b w:val="0"/>
      <w:sz w:val="36"/>
      <w:szCs w:val="20"/>
    </w:rPr>
  </w:style>
  <w:style w:type="paragraph" w:customStyle="1" w:styleId="37">
    <w:name w:val="Table Text"/>
    <w:basedOn w:val="1"/>
    <w:autoRedefine/>
    <w:semiHidden/>
    <w:qFormat/>
    <w:uiPriority w:val="0"/>
    <w:rPr>
      <w:rFonts w:ascii="仿宋" w:hAnsi="仿宋" w:eastAsia="仿宋" w:cs="仿宋"/>
      <w:sz w:val="28"/>
      <w:szCs w:val="28"/>
      <w:lang w:val="en-US" w:eastAsia="en-US" w:bidi="ar-SA"/>
    </w:rPr>
  </w:style>
  <w:style w:type="paragraph" w:customStyle="1" w:styleId="38">
    <w:name w:val="样式 表文字 + 字符缩放: 90%"/>
    <w:basedOn w:val="1"/>
    <w:autoRedefine/>
    <w:qFormat/>
    <w:uiPriority w:val="0"/>
    <w:pPr>
      <w:keepNext/>
      <w:adjustRightInd w:val="0"/>
      <w:spacing w:line="240" w:lineRule="exact"/>
      <w:ind w:left="-50" w:leftChars="-50" w:right="-50" w:rightChars="-50"/>
      <w:jc w:val="center"/>
      <w:textAlignment w:val="baseline"/>
    </w:pPr>
    <w:rPr>
      <w:kern w:val="0"/>
      <w:sz w:val="18"/>
      <w:szCs w:val="20"/>
    </w:rPr>
  </w:style>
  <w:style w:type="table" w:customStyle="1" w:styleId="39">
    <w:name w:val="Table Normal"/>
    <w:autoRedefine/>
    <w:semiHidden/>
    <w:unhideWhenUsed/>
    <w:qFormat/>
    <w:uiPriority w:val="0"/>
    <w:tblPr>
      <w:tblCellMar>
        <w:top w:w="0" w:type="dxa"/>
        <w:left w:w="0" w:type="dxa"/>
        <w:bottom w:w="0" w:type="dxa"/>
        <w:right w:w="0" w:type="dxa"/>
      </w:tblCellMar>
    </w:tblPr>
  </w:style>
  <w:style w:type="paragraph" w:customStyle="1" w:styleId="40">
    <w:name w:val="图表"/>
    <w:basedOn w:val="1"/>
    <w:next w:val="1"/>
    <w:autoRedefine/>
    <w:qFormat/>
    <w:uiPriority w:val="0"/>
    <w:pPr>
      <w:jc w:val="center"/>
    </w:pPr>
    <w:rPr>
      <w:spacing w:val="6"/>
      <w:szCs w:val="21"/>
    </w:rPr>
  </w:style>
  <w:style w:type="paragraph" w:customStyle="1" w:styleId="41">
    <w:name w:val="样式 标题 2 + 段前: 7.8 磅 段后: 7.8 磅 行距: 1.5 倍行距"/>
    <w:basedOn w:val="5"/>
    <w:autoRedefine/>
    <w:qFormat/>
    <w:uiPriority w:val="0"/>
    <w:pPr>
      <w:spacing w:before="156" w:after="156" w:line="360" w:lineRule="auto"/>
    </w:pPr>
    <w:rPr>
      <w:rFonts w:ascii="Times New Roman" w:hAnsi="Times New Roman" w:cs="宋体"/>
      <w:b w:val="0"/>
      <w:sz w:val="30"/>
      <w:szCs w:val="20"/>
    </w:rPr>
  </w:style>
  <w:style w:type="character" w:customStyle="1" w:styleId="42">
    <w:name w:val="font21"/>
    <w:basedOn w:val="22"/>
    <w:autoRedefine/>
    <w:qFormat/>
    <w:uiPriority w:val="0"/>
    <w:rPr>
      <w:rFonts w:hint="default" w:ascii="Times New Roman" w:hAnsi="Times New Roman" w:cs="Times New Roman"/>
      <w:color w:val="000000"/>
      <w:sz w:val="21"/>
      <w:szCs w:val="21"/>
      <w:u w:val="none"/>
    </w:rPr>
  </w:style>
  <w:style w:type="character" w:customStyle="1" w:styleId="43">
    <w:name w:val="font61"/>
    <w:basedOn w:val="22"/>
    <w:autoRedefine/>
    <w:qFormat/>
    <w:uiPriority w:val="0"/>
    <w:rPr>
      <w:rFonts w:hint="eastAsia" w:ascii="宋体" w:hAnsi="宋体" w:eastAsia="宋体" w:cs="宋体"/>
      <w:color w:val="000000"/>
      <w:sz w:val="21"/>
      <w:szCs w:val="21"/>
      <w:u w:val="none"/>
    </w:rPr>
  </w:style>
  <w:style w:type="character" w:customStyle="1" w:styleId="44">
    <w:name w:val="font51"/>
    <w:basedOn w:val="22"/>
    <w:autoRedefine/>
    <w:qFormat/>
    <w:uiPriority w:val="0"/>
    <w:rPr>
      <w:rFonts w:hint="default" w:ascii="Times New Roman" w:hAnsi="Times New Roman" w:cs="Times New Roman"/>
      <w:color w:val="000000"/>
      <w:sz w:val="21"/>
      <w:szCs w:val="21"/>
      <w:u w:val="none"/>
      <w:vertAlign w:val="subscript"/>
    </w:rPr>
  </w:style>
  <w:style w:type="paragraph" w:customStyle="1" w:styleId="45">
    <w:name w:val="表格正文 验收（书）"/>
    <w:basedOn w:val="1"/>
    <w:autoRedefine/>
    <w:qFormat/>
    <w:uiPriority w:val="0"/>
    <w:pPr>
      <w:widowControl w:val="0"/>
      <w:jc w:val="center"/>
    </w:pPr>
    <w:rPr>
      <w:rFonts w:ascii="Calibri" w:hAnsi="Calibri" w:cs="Times New Roman"/>
      <w:kern w:val="2"/>
      <w:sz w:val="18"/>
      <w:szCs w:val="22"/>
    </w:rPr>
  </w:style>
  <w:style w:type="character" w:customStyle="1" w:styleId="46">
    <w:name w:val="font31"/>
    <w:basedOn w:val="22"/>
    <w:autoRedefine/>
    <w:qFormat/>
    <w:uiPriority w:val="0"/>
    <w:rPr>
      <w:rFonts w:ascii="宋体" w:hAnsi="宋体" w:eastAsia="宋体" w:cs="宋体"/>
      <w:color w:val="000000"/>
      <w:sz w:val="14"/>
      <w:szCs w:val="14"/>
      <w:u w:val="none"/>
    </w:rPr>
  </w:style>
  <w:style w:type="paragraph" w:customStyle="1" w:styleId="47">
    <w:name w:val="111111正文"/>
    <w:basedOn w:val="1"/>
    <w:autoRedefine/>
    <w:qFormat/>
    <w:uiPriority w:val="0"/>
    <w:pPr>
      <w:spacing w:line="360" w:lineRule="auto"/>
      <w:ind w:firstLine="200" w:firstLineChars="200"/>
    </w:pPr>
    <w:rPr>
      <w:rFonts w:ascii="Calibri" w:hAnsi="Calibri"/>
      <w:sz w:val="24"/>
    </w:rPr>
  </w:style>
  <w:style w:type="paragraph" w:customStyle="1" w:styleId="48">
    <w:name w:val="段落"/>
    <w:basedOn w:val="1"/>
    <w:autoRedefine/>
    <w:qFormat/>
    <w:uiPriority w:val="0"/>
    <w:pPr>
      <w:tabs>
        <w:tab w:val="left" w:pos="0"/>
      </w:tabs>
      <w:adjustRightInd w:val="0"/>
      <w:spacing w:line="360" w:lineRule="auto"/>
      <w:ind w:firstLine="510"/>
      <w:textAlignment w:val="baseline"/>
    </w:pPr>
    <w:rPr>
      <w:kern w:val="0"/>
      <w:sz w:val="24"/>
    </w:rPr>
  </w:style>
  <w:style w:type="paragraph" w:customStyle="1" w:styleId="49">
    <w:name w:val="表格内容"/>
    <w:basedOn w:val="2"/>
    <w:autoRedefine/>
    <w:qFormat/>
    <w:uiPriority w:val="0"/>
    <w:pPr>
      <w:spacing w:line="312" w:lineRule="auto"/>
      <w:ind w:firstLine="0" w:firstLineChars="0"/>
      <w:jc w:val="center"/>
    </w:pPr>
    <w:rPr>
      <w:rFonts w:ascii="Times New Roman" w:hAnsi="Times New Roman"/>
      <w:color w:val="auto"/>
      <w:kern w:val="2"/>
      <w:sz w:val="21"/>
      <w:lang w:eastAsia="en-US"/>
    </w:rPr>
  </w:style>
  <w:style w:type="paragraph" w:customStyle="1" w:styleId="50">
    <w:name w:val="[1]正文"/>
    <w:basedOn w:val="1"/>
    <w:autoRedefine/>
    <w:qFormat/>
    <w:uiPriority w:val="0"/>
    <w:pPr>
      <w:widowControl w:val="0"/>
      <w:autoSpaceDE w:val="0"/>
      <w:autoSpaceDN w:val="0"/>
      <w:spacing w:line="360" w:lineRule="auto"/>
      <w:ind w:firstLine="454"/>
      <w:jc w:val="both"/>
    </w:pPr>
    <w:rPr>
      <w:rFonts w:ascii="Times New Roman" w:hAnsi="Times New Roman"/>
      <w:color w:val="000000"/>
      <w:lang w:val="zh-CN" w:eastAsia="zh-CN"/>
    </w:rPr>
  </w:style>
  <w:style w:type="paragraph" w:customStyle="1" w:styleId="51">
    <w:name w:val="【表格】"/>
    <w:next w:val="18"/>
    <w:autoRedefine/>
    <w:qFormat/>
    <w:uiPriority w:val="0"/>
    <w:pPr>
      <w:jc w:val="center"/>
    </w:pPr>
    <w:rPr>
      <w:rFonts w:ascii="Times New Roman" w:hAnsi="Times New Roman" w:eastAsia="宋体" w:cs="Times New Roman"/>
      <w:sz w:val="21"/>
      <w:szCs w:val="24"/>
      <w:lang w:val="en-US" w:eastAsia="zh-CN" w:bidi="ar-SA"/>
    </w:rPr>
  </w:style>
  <w:style w:type="paragraph" w:customStyle="1" w:styleId="52">
    <w:name w:val="xxxxx正文"/>
    <w:basedOn w:val="1"/>
    <w:autoRedefine/>
    <w:qFormat/>
    <w:uiPriority w:val="0"/>
    <w:pPr>
      <w:topLinePunct/>
      <w:spacing w:line="360" w:lineRule="auto"/>
      <w:ind w:firstLine="200" w:firstLineChars="200"/>
    </w:pPr>
    <w:rPr>
      <w:rFonts w:ascii="Calibri" w:hAnsi="Calibri"/>
      <w:sz w:val="24"/>
      <w:lang w:val="zh-CN"/>
    </w:rPr>
  </w:style>
  <w:style w:type="paragraph" w:customStyle="1" w:styleId="53">
    <w:name w:val="样式1"/>
    <w:basedOn w:val="1"/>
    <w:autoRedefine/>
    <w:qFormat/>
    <w:uiPriority w:val="0"/>
    <w:pPr>
      <w:spacing w:line="440" w:lineRule="exact"/>
      <w:ind w:firstLine="480" w:firstLineChars="200"/>
    </w:pPr>
    <w:rPr>
      <w:rFonts w:ascii="Calibri" w:hAnsi="Calibri"/>
      <w:sz w:val="24"/>
      <w:szCs w:val="22"/>
    </w:rPr>
  </w:style>
  <w:style w:type="paragraph" w:customStyle="1" w:styleId="54">
    <w:name w:val="报告正文"/>
    <w:basedOn w:val="1"/>
    <w:next w:val="1"/>
    <w:autoRedefine/>
    <w:qFormat/>
    <w:uiPriority w:val="0"/>
    <w:pPr>
      <w:spacing w:line="360" w:lineRule="auto"/>
    </w:pPr>
    <w:rPr>
      <w:sz w:val="24"/>
      <w:szCs w:val="24"/>
    </w:rPr>
  </w:style>
  <w:style w:type="paragraph" w:customStyle="1" w:styleId="55">
    <w:name w:val="Default"/>
    <w:next w:val="1"/>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56">
    <w:name w:val="font41"/>
    <w:basedOn w:val="22"/>
    <w:autoRedefine/>
    <w:qFormat/>
    <w:uiPriority w:val="0"/>
    <w:rPr>
      <w:rFonts w:hint="default" w:ascii="Times New Roman" w:hAnsi="Times New Roman" w:cs="Times New Roman"/>
      <w:color w:val="000000"/>
      <w:sz w:val="21"/>
      <w:szCs w:val="21"/>
      <w:u w:val="none"/>
      <w:vertAlign w:val="subscript"/>
    </w:rPr>
  </w:style>
  <w:style w:type="character" w:customStyle="1" w:styleId="57">
    <w:name w:val="font11"/>
    <w:basedOn w:val="22"/>
    <w:autoRedefine/>
    <w:qFormat/>
    <w:uiPriority w:val="0"/>
    <w:rPr>
      <w:rFonts w:hint="eastAsia" w:ascii="宋体" w:hAnsi="宋体" w:eastAsia="宋体" w:cs="宋体"/>
      <w:color w:val="000000"/>
      <w:sz w:val="18"/>
      <w:szCs w:val="18"/>
      <w:u w:val="none"/>
    </w:rPr>
  </w:style>
  <w:style w:type="paragraph" w:customStyle="1" w:styleId="58">
    <w:name w:val="【表头】"/>
    <w:basedOn w:val="1"/>
    <w:autoRedefine/>
    <w:qFormat/>
    <w:uiPriority w:val="0"/>
    <w:pPr>
      <w:spacing w:line="360" w:lineRule="auto"/>
      <w:ind w:firstLine="0" w:firstLineChars="0"/>
      <w:jc w:val="center"/>
    </w:pPr>
    <w:rPr>
      <w:rFonts w:ascii="Times New Roman" w:hAnsi="Times New Roman" w:eastAsia="宋体"/>
      <w:b/>
      <w:sz w:val="21"/>
    </w:rPr>
  </w:style>
  <w:style w:type="paragraph" w:customStyle="1" w:styleId="59">
    <w:name w:val="高-表头"/>
    <w:basedOn w:val="1"/>
    <w:next w:val="1"/>
    <w:autoRedefine/>
    <w:qFormat/>
    <w:uiPriority w:val="0"/>
    <w:pPr>
      <w:jc w:val="center"/>
    </w:pPr>
    <w:rPr>
      <w:b/>
      <w:kern w:val="0"/>
      <w:szCs w:val="20"/>
    </w:rPr>
  </w:style>
  <w:style w:type="paragraph" w:customStyle="1" w:styleId="60">
    <w:name w:val="表格正文"/>
    <w:basedOn w:val="1"/>
    <w:autoRedefine/>
    <w:qFormat/>
    <w:uiPriority w:val="0"/>
    <w:pPr>
      <w:spacing w:line="360" w:lineRule="exact"/>
      <w:jc w:val="center"/>
    </w:pPr>
  </w:style>
  <w:style w:type="paragraph" w:customStyle="1" w:styleId="61">
    <w:name w:val="5-正文"/>
    <w:basedOn w:val="1"/>
    <w:autoRedefine/>
    <w:qFormat/>
    <w:uiPriority w:val="0"/>
    <w:pPr>
      <w:snapToGrid w:val="0"/>
      <w:ind w:firstLine="480" w:firstLineChars="200"/>
    </w:pPr>
    <w:rPr>
      <w:rFonts w:ascii="Times New Roman" w:hAnsi="Times New Roman"/>
      <w:kern w:val="0"/>
      <w:sz w:val="24"/>
      <w:szCs w:val="20"/>
    </w:rPr>
  </w:style>
  <w:style w:type="paragraph" w:customStyle="1" w:styleId="62">
    <w:name w:val="WPSOffice手动目录 1"/>
    <w:uiPriority w:val="0"/>
    <w:pPr>
      <w:ind w:leftChars="0"/>
    </w:pPr>
    <w:rPr>
      <w:sz w:val="20"/>
      <w:szCs w:val="20"/>
    </w:rPr>
  </w:style>
  <w:style w:type="paragraph" w:customStyle="1" w:styleId="63">
    <w:name w:val="WPSOffice手动目录 2"/>
    <w:uiPriority w:val="0"/>
    <w:pPr>
      <w:ind w:leftChars="200"/>
    </w:pPr>
    <w:rPr>
      <w:sz w:val="20"/>
      <w:szCs w:val="20"/>
    </w:rPr>
  </w:style>
  <w:style w:type="paragraph" w:customStyle="1" w:styleId="64">
    <w:name w:val="WPSOffice手动目录 3"/>
    <w:uiPriority w:val="0"/>
    <w:pPr>
      <w:ind w:leftChars="4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emf"/><Relationship Id="rId17" Type="http://schemas.openxmlformats.org/officeDocument/2006/relationships/oleObject" Target="embeddings/oleObject3.bin"/><Relationship Id="rId16" Type="http://schemas.openxmlformats.org/officeDocument/2006/relationships/image" Target="media/image7.emf"/><Relationship Id="rId15" Type="http://schemas.openxmlformats.org/officeDocument/2006/relationships/oleObject" Target="embeddings/oleObject2.bin"/><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210</Pages>
  <Words>88695</Words>
  <Characters>109377</Characters>
  <Lines>0</Lines>
  <Paragraphs>0</Paragraphs>
  <TotalTime>7</TotalTime>
  <ScaleCrop>false</ScaleCrop>
  <LinksUpToDate>false</LinksUpToDate>
  <CharactersWithSpaces>121790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2024-03-28T01:29:00Z</dcterms:created>
  <dc:creator>小辰</dc:creator>
  <cp:lastModifiedBy>小辰</cp:lastModifiedBy>
  <dcterms:modified xsi:type="dcterms:W3CDTF">2024-07-18T03:36:15Z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83FA131D38C642BCB5C01E3D6CC445C4_13</vt:lpwstr>
  </property>
</Properties>
</file>