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86" w:rsidRPr="00241A01" w:rsidRDefault="00155086" w:rsidP="00155086">
      <w:pPr>
        <w:pStyle w:val="p16"/>
        <w:adjustRightInd w:val="0"/>
        <w:snapToGrid w:val="0"/>
        <w:rPr>
          <w:rFonts w:ascii="Times New Roman" w:eastAsia="仿宋_GB2312" w:hAnsi="Times New Roman" w:cs="Times New Roman"/>
          <w:sz w:val="32"/>
          <w:szCs w:val="32"/>
        </w:rPr>
      </w:pPr>
      <w:bookmarkStart w:id="0" w:name="_GoBack"/>
      <w:bookmarkEnd w:id="0"/>
      <w:r w:rsidRPr="00241A01">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2</w:t>
      </w:r>
      <w:r w:rsidRPr="00241A01">
        <w:rPr>
          <w:rFonts w:ascii="Times New Roman" w:eastAsia="仿宋_GB2312" w:hAnsi="Times New Roman" w:cs="Times New Roman" w:hint="eastAsia"/>
          <w:sz w:val="32"/>
          <w:szCs w:val="32"/>
        </w:rPr>
        <w:t>：</w:t>
      </w:r>
    </w:p>
    <w:p w:rsidR="00155086" w:rsidRPr="00155086" w:rsidRDefault="00155086" w:rsidP="009604B1">
      <w:pPr>
        <w:spacing w:line="360" w:lineRule="auto"/>
        <w:ind w:firstLineChars="200" w:firstLine="641"/>
        <w:jc w:val="center"/>
        <w:rPr>
          <w:rFonts w:ascii="仿宋_GB2312" w:eastAsia="仿宋_GB2312"/>
          <w:sz w:val="22"/>
          <w:szCs w:val="24"/>
        </w:rPr>
      </w:pPr>
      <w:r w:rsidRPr="00155086">
        <w:rPr>
          <w:rFonts w:ascii="华文中宋" w:eastAsia="华文中宋" w:hAnsi="华文中宋" w:hint="eastAsia"/>
          <w:b/>
          <w:sz w:val="32"/>
          <w:szCs w:val="36"/>
        </w:rPr>
        <w:t>内蒙古兴安盟科尔沁</w:t>
      </w:r>
      <w:r w:rsidRPr="00155086">
        <w:rPr>
          <w:rFonts w:ascii="华文中宋" w:eastAsia="华文中宋" w:hAnsi="华文中宋"/>
          <w:b/>
          <w:sz w:val="32"/>
          <w:szCs w:val="36"/>
        </w:rPr>
        <w:t>右翼中旗五角枫自治区级自然保护区</w:t>
      </w:r>
      <w:r w:rsidR="009604B1">
        <w:rPr>
          <w:rFonts w:ascii="华文中宋" w:eastAsia="华文中宋" w:hAnsi="华文中宋" w:hint="eastAsia"/>
          <w:b/>
          <w:sz w:val="32"/>
          <w:szCs w:val="36"/>
        </w:rPr>
        <w:t>调整</w:t>
      </w:r>
      <w:r w:rsidRPr="00155086">
        <w:rPr>
          <w:rFonts w:ascii="华文中宋" w:eastAsia="华文中宋" w:hAnsi="华文中宋"/>
          <w:b/>
          <w:sz w:val="32"/>
          <w:szCs w:val="36"/>
        </w:rPr>
        <w:t>基本情况</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30"/>
        <w:gridCol w:w="1538"/>
        <w:gridCol w:w="1625"/>
        <w:gridCol w:w="3539"/>
        <w:gridCol w:w="1115"/>
        <w:gridCol w:w="1300"/>
        <w:gridCol w:w="1417"/>
      </w:tblGrid>
      <w:tr w:rsidR="00155086" w:rsidRPr="00352C01" w:rsidTr="00352C01">
        <w:trPr>
          <w:tblHeader/>
          <w:jc w:val="center"/>
        </w:trPr>
        <w:tc>
          <w:tcPr>
            <w:tcW w:w="565"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保护区名称</w:t>
            </w:r>
          </w:p>
        </w:tc>
        <w:tc>
          <w:tcPr>
            <w:tcW w:w="562"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地理位置</w:t>
            </w:r>
          </w:p>
        </w:tc>
        <w:tc>
          <w:tcPr>
            <w:tcW w:w="565"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主要保护对象</w:t>
            </w:r>
          </w:p>
        </w:tc>
        <w:tc>
          <w:tcPr>
            <w:tcW w:w="597"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调整类型</w:t>
            </w:r>
          </w:p>
        </w:tc>
        <w:tc>
          <w:tcPr>
            <w:tcW w:w="1301"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调整原因</w:t>
            </w:r>
          </w:p>
        </w:tc>
        <w:tc>
          <w:tcPr>
            <w:tcW w:w="410"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原面积</w:t>
            </w:r>
          </w:p>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（公顷）</w:t>
            </w:r>
          </w:p>
        </w:tc>
        <w:tc>
          <w:tcPr>
            <w:tcW w:w="478"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调整后面</w:t>
            </w:r>
          </w:p>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积（公顷）</w:t>
            </w:r>
          </w:p>
        </w:tc>
        <w:tc>
          <w:tcPr>
            <w:tcW w:w="521" w:type="pct"/>
            <w:shd w:val="clear" w:color="auto" w:fill="auto"/>
            <w:vAlign w:val="center"/>
          </w:tcPr>
          <w:p w:rsidR="00155086" w:rsidRPr="00352C01" w:rsidRDefault="00155086" w:rsidP="00352C01">
            <w:pPr>
              <w:jc w:val="center"/>
              <w:rPr>
                <w:rFonts w:ascii="仿宋_GB2312" w:eastAsia="仿宋_GB2312"/>
                <w:b/>
                <w:szCs w:val="21"/>
              </w:rPr>
            </w:pPr>
            <w:r w:rsidRPr="00352C01">
              <w:rPr>
                <w:rFonts w:ascii="仿宋_GB2312" w:eastAsia="仿宋_GB2312" w:hint="eastAsia"/>
                <w:b/>
                <w:szCs w:val="21"/>
              </w:rPr>
              <w:t>申报单位</w:t>
            </w:r>
          </w:p>
        </w:tc>
      </w:tr>
      <w:tr w:rsidR="00155086" w:rsidRPr="00352C01" w:rsidTr="00352C01">
        <w:trPr>
          <w:jc w:val="center"/>
        </w:trPr>
        <w:tc>
          <w:tcPr>
            <w:tcW w:w="565" w:type="pct"/>
            <w:shd w:val="clear" w:color="auto" w:fill="auto"/>
            <w:vAlign w:val="center"/>
          </w:tcPr>
          <w:p w:rsidR="00155086" w:rsidRPr="00352C01" w:rsidRDefault="00155086" w:rsidP="00352C01">
            <w:pPr>
              <w:jc w:val="center"/>
              <w:rPr>
                <w:rFonts w:ascii="仿宋_GB2312" w:eastAsia="仿宋_GB2312"/>
                <w:szCs w:val="21"/>
              </w:rPr>
            </w:pPr>
            <w:r w:rsidRPr="00352C01">
              <w:rPr>
                <w:rFonts w:ascii="仿宋_GB2312" w:eastAsia="仿宋_GB2312" w:hint="eastAsia"/>
                <w:szCs w:val="21"/>
              </w:rPr>
              <w:t>内蒙古</w:t>
            </w:r>
            <w:r w:rsidR="009604B1" w:rsidRPr="00352C01">
              <w:rPr>
                <w:rFonts w:ascii="仿宋_GB2312" w:eastAsia="仿宋_GB2312" w:hint="eastAsia"/>
                <w:szCs w:val="21"/>
              </w:rPr>
              <w:t>兴安盟科尔沁右翼中旗五角枫自然保护区</w:t>
            </w:r>
          </w:p>
        </w:tc>
        <w:tc>
          <w:tcPr>
            <w:tcW w:w="562" w:type="pct"/>
            <w:shd w:val="clear" w:color="auto" w:fill="auto"/>
            <w:vAlign w:val="center"/>
          </w:tcPr>
          <w:p w:rsidR="00155086" w:rsidRPr="00352C01" w:rsidRDefault="009604B1" w:rsidP="00352C01">
            <w:pPr>
              <w:jc w:val="center"/>
              <w:rPr>
                <w:rFonts w:ascii="仿宋_GB2312" w:eastAsia="仿宋_GB2312"/>
                <w:szCs w:val="21"/>
              </w:rPr>
            </w:pPr>
            <w:r w:rsidRPr="00352C01">
              <w:rPr>
                <w:rFonts w:ascii="仿宋_GB2312" w:eastAsia="仿宋_GB2312" w:hint="eastAsia"/>
                <w:szCs w:val="21"/>
              </w:rPr>
              <w:t>兴安盟科尔沁右翼中旗</w:t>
            </w:r>
          </w:p>
        </w:tc>
        <w:tc>
          <w:tcPr>
            <w:tcW w:w="565" w:type="pct"/>
            <w:shd w:val="clear" w:color="auto" w:fill="auto"/>
            <w:vAlign w:val="center"/>
          </w:tcPr>
          <w:p w:rsidR="00155086" w:rsidRPr="00352C01" w:rsidRDefault="009604B1" w:rsidP="00352C01">
            <w:pPr>
              <w:jc w:val="center"/>
              <w:rPr>
                <w:rFonts w:ascii="仿宋_GB2312" w:eastAsia="仿宋_GB2312"/>
                <w:szCs w:val="21"/>
              </w:rPr>
            </w:pPr>
            <w:r w:rsidRPr="00352C01">
              <w:rPr>
                <w:rFonts w:ascii="仿宋_GB2312" w:eastAsia="仿宋_GB2312" w:hint="eastAsia"/>
                <w:szCs w:val="21"/>
              </w:rPr>
              <w:t>科尔沁沙地顶极演替群落——五角枫、榆树疏林草原生态系统、珍稀野生动物及其栖息地</w:t>
            </w:r>
          </w:p>
        </w:tc>
        <w:tc>
          <w:tcPr>
            <w:tcW w:w="597" w:type="pct"/>
            <w:shd w:val="clear" w:color="auto" w:fill="auto"/>
            <w:vAlign w:val="center"/>
          </w:tcPr>
          <w:p w:rsidR="00155086" w:rsidRPr="00352C01" w:rsidRDefault="00155086" w:rsidP="00352C01">
            <w:pPr>
              <w:jc w:val="center"/>
              <w:rPr>
                <w:rFonts w:ascii="仿宋_GB2312" w:eastAsia="仿宋_GB2312"/>
                <w:szCs w:val="21"/>
              </w:rPr>
            </w:pPr>
            <w:r w:rsidRPr="00352C01">
              <w:rPr>
                <w:rFonts w:ascii="仿宋_GB2312" w:eastAsia="仿宋_GB2312" w:hint="eastAsia"/>
                <w:szCs w:val="21"/>
              </w:rPr>
              <w:t>范围</w:t>
            </w:r>
            <w:r w:rsidR="009604B1" w:rsidRPr="00352C01">
              <w:rPr>
                <w:rFonts w:ascii="仿宋_GB2312" w:eastAsia="仿宋_GB2312" w:hint="eastAsia"/>
                <w:szCs w:val="21"/>
              </w:rPr>
              <w:t>、功能区</w:t>
            </w:r>
            <w:r w:rsidRPr="00352C01">
              <w:rPr>
                <w:rFonts w:ascii="仿宋_GB2312" w:eastAsia="仿宋_GB2312" w:hint="eastAsia"/>
                <w:szCs w:val="21"/>
              </w:rPr>
              <w:t>调整</w:t>
            </w:r>
          </w:p>
        </w:tc>
        <w:tc>
          <w:tcPr>
            <w:tcW w:w="1301" w:type="pct"/>
            <w:shd w:val="clear" w:color="auto" w:fill="auto"/>
            <w:vAlign w:val="center"/>
          </w:tcPr>
          <w:p w:rsidR="009604B1" w:rsidRPr="00352C01" w:rsidRDefault="009604B1" w:rsidP="00352C01">
            <w:pPr>
              <w:jc w:val="left"/>
              <w:rPr>
                <w:rFonts w:ascii="仿宋_GB2312" w:eastAsia="仿宋_GB2312"/>
                <w:szCs w:val="21"/>
              </w:rPr>
            </w:pPr>
            <w:r w:rsidRPr="00352C01">
              <w:rPr>
                <w:rFonts w:ascii="仿宋_GB2312" w:eastAsia="仿宋_GB2312" w:hint="eastAsia"/>
                <w:szCs w:val="21"/>
              </w:rPr>
              <w:t>保护区批准建立之前存在的巴彦呼舒建制镇规划建设区域、代钦塔拉苏木政府所在地及翰嘎利水库管理区等人口密集区域对保护区管理工作带来极大困难；国道111线、省际通道306线与保护区核心区、缓冲区重叠；</w:t>
            </w:r>
            <w:r w:rsidR="00155086" w:rsidRPr="00352C01">
              <w:rPr>
                <w:rFonts w:ascii="仿宋_GB2312" w:eastAsia="仿宋_GB2312" w:hint="eastAsia"/>
                <w:szCs w:val="21"/>
              </w:rPr>
              <w:t>解决与</w:t>
            </w:r>
            <w:r w:rsidRPr="00352C01">
              <w:rPr>
                <w:rFonts w:ascii="仿宋_GB2312" w:eastAsia="仿宋_GB2312" w:hint="eastAsia"/>
                <w:szCs w:val="21"/>
              </w:rPr>
              <w:t>内蒙古科尔沁国家级</w:t>
            </w:r>
            <w:r w:rsidR="00155086" w:rsidRPr="00352C01">
              <w:rPr>
                <w:rFonts w:ascii="仿宋_GB2312" w:eastAsia="仿宋_GB2312" w:hint="eastAsia"/>
                <w:szCs w:val="21"/>
              </w:rPr>
              <w:t>自然保护区部分区域重叠问题</w:t>
            </w:r>
            <w:r w:rsidR="008B7D8B" w:rsidRPr="00352C01">
              <w:rPr>
                <w:rFonts w:ascii="仿宋_GB2312" w:eastAsia="仿宋_GB2312" w:hint="eastAsia"/>
                <w:szCs w:val="21"/>
              </w:rPr>
              <w:t>；</w:t>
            </w:r>
            <w:r w:rsidR="009D7DFA" w:rsidRPr="00352C01">
              <w:rPr>
                <w:rFonts w:ascii="仿宋_GB2312" w:eastAsia="仿宋_GB2312" w:hint="eastAsia"/>
                <w:szCs w:val="21"/>
              </w:rPr>
              <w:t>距</w:t>
            </w:r>
            <w:r w:rsidRPr="00352C01">
              <w:rPr>
                <w:rFonts w:ascii="仿宋_GB2312" w:eastAsia="仿宋_GB2312" w:hint="eastAsia"/>
                <w:szCs w:val="21"/>
              </w:rPr>
              <w:t>调整前保护区西27km，位于杜尔基镇南部的哈敦哈拉山</w:t>
            </w:r>
            <w:r w:rsidR="009D7DFA" w:rsidRPr="00352C01">
              <w:rPr>
                <w:rFonts w:ascii="仿宋_GB2312" w:eastAsia="仿宋_GB2312" w:hint="eastAsia"/>
                <w:szCs w:val="21"/>
              </w:rPr>
              <w:t>五角枫林地长势</w:t>
            </w:r>
            <w:r w:rsidR="008B7D8B" w:rsidRPr="00352C01">
              <w:rPr>
                <w:rFonts w:ascii="仿宋_GB2312" w:eastAsia="仿宋_GB2312" w:hint="eastAsia"/>
                <w:szCs w:val="21"/>
              </w:rPr>
              <w:t>良好</w:t>
            </w:r>
            <w:r w:rsidR="009D7DFA" w:rsidRPr="00352C01">
              <w:rPr>
                <w:rFonts w:ascii="仿宋_GB2312" w:eastAsia="仿宋_GB2312" w:hint="eastAsia"/>
                <w:szCs w:val="21"/>
              </w:rPr>
              <w:t>、天然更新表现</w:t>
            </w:r>
            <w:r w:rsidR="008B7D8B" w:rsidRPr="00352C01">
              <w:rPr>
                <w:rFonts w:ascii="仿宋_GB2312" w:eastAsia="仿宋_GB2312" w:hint="eastAsia"/>
                <w:szCs w:val="21"/>
              </w:rPr>
              <w:t>突出</w:t>
            </w:r>
            <w:r w:rsidR="009D7DFA" w:rsidRPr="00352C01">
              <w:rPr>
                <w:rFonts w:ascii="仿宋_GB2312" w:eastAsia="仿宋_GB2312" w:hint="eastAsia"/>
                <w:szCs w:val="21"/>
              </w:rPr>
              <w:t>，生态系统完整，急需划入保护区加强保护</w:t>
            </w:r>
            <w:r w:rsidR="008B7D8B" w:rsidRPr="00352C01">
              <w:rPr>
                <w:rFonts w:ascii="仿宋_GB2312" w:eastAsia="仿宋_GB2312" w:hint="eastAsia"/>
                <w:szCs w:val="21"/>
              </w:rPr>
              <w:t>。</w:t>
            </w:r>
          </w:p>
        </w:tc>
        <w:tc>
          <w:tcPr>
            <w:tcW w:w="410" w:type="pct"/>
            <w:shd w:val="clear" w:color="auto" w:fill="auto"/>
            <w:vAlign w:val="center"/>
          </w:tcPr>
          <w:p w:rsidR="00155086" w:rsidRPr="00352C01" w:rsidRDefault="008B7D8B" w:rsidP="00352C01">
            <w:pPr>
              <w:jc w:val="center"/>
              <w:rPr>
                <w:rFonts w:ascii="仿宋_GB2312" w:eastAsia="仿宋_GB2312"/>
                <w:szCs w:val="21"/>
              </w:rPr>
            </w:pPr>
            <w:r w:rsidRPr="00352C01">
              <w:rPr>
                <w:rFonts w:ascii="仿宋_GB2312" w:eastAsia="仿宋_GB2312" w:hint="eastAsia"/>
                <w:szCs w:val="21"/>
              </w:rPr>
              <w:t>61641</w:t>
            </w:r>
          </w:p>
        </w:tc>
        <w:tc>
          <w:tcPr>
            <w:tcW w:w="478" w:type="pct"/>
            <w:shd w:val="clear" w:color="auto" w:fill="auto"/>
            <w:vAlign w:val="center"/>
          </w:tcPr>
          <w:p w:rsidR="00155086" w:rsidRPr="00352C01" w:rsidRDefault="008B7D8B" w:rsidP="00352C01">
            <w:pPr>
              <w:jc w:val="center"/>
              <w:rPr>
                <w:rFonts w:ascii="仿宋_GB2312" w:eastAsia="仿宋_GB2312"/>
                <w:szCs w:val="21"/>
              </w:rPr>
            </w:pPr>
            <w:r w:rsidRPr="00352C01">
              <w:rPr>
                <w:rFonts w:ascii="仿宋_GB2312" w:eastAsia="仿宋_GB2312" w:hint="eastAsia"/>
                <w:szCs w:val="21"/>
              </w:rPr>
              <w:t>60727</w:t>
            </w:r>
          </w:p>
        </w:tc>
        <w:tc>
          <w:tcPr>
            <w:tcW w:w="521" w:type="pct"/>
            <w:shd w:val="clear" w:color="auto" w:fill="auto"/>
            <w:vAlign w:val="center"/>
          </w:tcPr>
          <w:p w:rsidR="00155086" w:rsidRPr="00352C01" w:rsidRDefault="00155086" w:rsidP="00352C01">
            <w:pPr>
              <w:jc w:val="center"/>
              <w:rPr>
                <w:rFonts w:ascii="仿宋_GB2312" w:eastAsia="仿宋_GB2312"/>
                <w:szCs w:val="21"/>
              </w:rPr>
            </w:pPr>
            <w:r w:rsidRPr="00352C01">
              <w:rPr>
                <w:rFonts w:ascii="仿宋_GB2312" w:eastAsia="仿宋_GB2312" w:hint="eastAsia"/>
                <w:szCs w:val="21"/>
              </w:rPr>
              <w:t>内蒙古自治区</w:t>
            </w:r>
            <w:r w:rsidR="008B7D8B" w:rsidRPr="00352C01">
              <w:rPr>
                <w:rFonts w:ascii="仿宋_GB2312" w:eastAsia="仿宋_GB2312" w:hint="eastAsia"/>
                <w:szCs w:val="21"/>
              </w:rPr>
              <w:t>兴安盟科尔沁右翼中旗</w:t>
            </w:r>
            <w:r w:rsidRPr="00352C01">
              <w:rPr>
                <w:rFonts w:ascii="仿宋_GB2312" w:eastAsia="仿宋_GB2312" w:hint="eastAsia"/>
                <w:szCs w:val="21"/>
              </w:rPr>
              <w:t>人民政府</w:t>
            </w:r>
          </w:p>
        </w:tc>
      </w:tr>
    </w:tbl>
    <w:p w:rsidR="00F74328" w:rsidRPr="00155086" w:rsidRDefault="00F74328" w:rsidP="00155086">
      <w:pPr>
        <w:spacing w:line="360" w:lineRule="auto"/>
        <w:rPr>
          <w:rFonts w:ascii="仿宋_GB2312" w:eastAsia="仿宋_GB2312"/>
          <w:sz w:val="24"/>
          <w:szCs w:val="24"/>
        </w:rPr>
      </w:pPr>
    </w:p>
    <w:sectPr w:rsidR="00F74328" w:rsidRPr="00155086" w:rsidSect="0015508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E6" w:rsidRDefault="009107E6" w:rsidP="001C6EFA">
      <w:r>
        <w:separator/>
      </w:r>
    </w:p>
  </w:endnote>
  <w:endnote w:type="continuationSeparator" w:id="0">
    <w:p w:rsidR="009107E6" w:rsidRDefault="009107E6" w:rsidP="001C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E6" w:rsidRDefault="009107E6" w:rsidP="001C6EFA">
      <w:r>
        <w:separator/>
      </w:r>
    </w:p>
  </w:footnote>
  <w:footnote w:type="continuationSeparator" w:id="0">
    <w:p w:rsidR="009107E6" w:rsidRDefault="009107E6" w:rsidP="001C6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28"/>
    <w:rsid w:val="00080A76"/>
    <w:rsid w:val="00155086"/>
    <w:rsid w:val="001C6EFA"/>
    <w:rsid w:val="00241A01"/>
    <w:rsid w:val="00352C01"/>
    <w:rsid w:val="00845BDB"/>
    <w:rsid w:val="008B7D8B"/>
    <w:rsid w:val="009107E6"/>
    <w:rsid w:val="00910CE2"/>
    <w:rsid w:val="009604B1"/>
    <w:rsid w:val="009D6B7C"/>
    <w:rsid w:val="009D7DFA"/>
    <w:rsid w:val="00F7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6CF005-8E0F-45F8-9D64-BDC72F01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6EFA"/>
    <w:rPr>
      <w:sz w:val="18"/>
      <w:szCs w:val="18"/>
    </w:rPr>
  </w:style>
  <w:style w:type="paragraph" w:styleId="a5">
    <w:name w:val="footer"/>
    <w:basedOn w:val="a"/>
    <w:link w:val="a6"/>
    <w:uiPriority w:val="99"/>
    <w:unhideWhenUsed/>
    <w:rsid w:val="001C6EFA"/>
    <w:pPr>
      <w:tabs>
        <w:tab w:val="center" w:pos="4153"/>
        <w:tab w:val="right" w:pos="8306"/>
      </w:tabs>
      <w:snapToGrid w:val="0"/>
      <w:jc w:val="left"/>
    </w:pPr>
    <w:rPr>
      <w:sz w:val="18"/>
      <w:szCs w:val="18"/>
    </w:rPr>
  </w:style>
  <w:style w:type="character" w:customStyle="1" w:styleId="a6">
    <w:name w:val="页脚 字符"/>
    <w:basedOn w:val="a0"/>
    <w:link w:val="a5"/>
    <w:uiPriority w:val="99"/>
    <w:rsid w:val="001C6EFA"/>
    <w:rPr>
      <w:sz w:val="18"/>
      <w:szCs w:val="18"/>
    </w:rPr>
  </w:style>
  <w:style w:type="paragraph" w:customStyle="1" w:styleId="p16">
    <w:name w:val="p16"/>
    <w:basedOn w:val="a"/>
    <w:rsid w:val="001C6EFA"/>
    <w:pPr>
      <w:widowControl/>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Y-hope</dc:creator>
  <cp:keywords/>
  <dc:description/>
  <cp:lastModifiedBy>User</cp:lastModifiedBy>
  <cp:revision>5</cp:revision>
  <dcterms:created xsi:type="dcterms:W3CDTF">2018-07-27T00:57:00Z</dcterms:created>
  <dcterms:modified xsi:type="dcterms:W3CDTF">2018-07-27T02:17:00Z</dcterms:modified>
</cp:coreProperties>
</file>